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C110E" w14:textId="3955A7E8" w:rsidR="00E547E7" w:rsidRPr="00CE36E8" w:rsidRDefault="00E547E7" w:rsidP="00E547E7">
      <w:pPr>
        <w:pStyle w:val="3GPPHeader"/>
        <w:spacing w:after="60"/>
        <w:rPr>
          <w:sz w:val="32"/>
          <w:szCs w:val="32"/>
        </w:rPr>
      </w:pPr>
      <w:bookmarkStart w:id="0" w:name="_GoBack"/>
      <w:bookmarkEnd w:id="0"/>
      <w:r w:rsidRPr="00CE36E8">
        <w:t>3GPP TSG-RAN WG1 Meeting #9</w:t>
      </w:r>
      <w:r w:rsidR="00B36630" w:rsidRPr="00CE36E8">
        <w:t>8</w:t>
      </w:r>
      <w:r w:rsidRPr="00CE36E8">
        <w:tab/>
      </w:r>
      <w:r w:rsidRPr="00CE36E8">
        <w:rPr>
          <w:sz w:val="32"/>
          <w:szCs w:val="32"/>
        </w:rPr>
        <w:t>R1-19</w:t>
      </w:r>
      <w:r w:rsidR="00250A05">
        <w:rPr>
          <w:sz w:val="32"/>
          <w:szCs w:val="32"/>
        </w:rPr>
        <w:t>08025</w:t>
      </w:r>
    </w:p>
    <w:p w14:paraId="1256E6AF" w14:textId="7E4F85A1" w:rsidR="00E547E7" w:rsidRPr="00CE36E8" w:rsidRDefault="00B36630" w:rsidP="00E547E7">
      <w:pPr>
        <w:pStyle w:val="3GPPHeader"/>
      </w:pPr>
      <w:r w:rsidRPr="00CE36E8">
        <w:t>Prague</w:t>
      </w:r>
      <w:r w:rsidR="00EE5F02" w:rsidRPr="00CE36E8">
        <w:t xml:space="preserve">, </w:t>
      </w:r>
      <w:r w:rsidRPr="00CE36E8">
        <w:t>Czech Republic</w:t>
      </w:r>
      <w:r w:rsidR="00E547E7" w:rsidRPr="00CE36E8">
        <w:t xml:space="preserve">, </w:t>
      </w:r>
      <w:r w:rsidRPr="00CE36E8">
        <w:t>26</w:t>
      </w:r>
      <w:r w:rsidR="00E547E7" w:rsidRPr="00CE36E8">
        <w:rPr>
          <w:vertAlign w:val="superscript"/>
        </w:rPr>
        <w:t>th</w:t>
      </w:r>
      <w:r w:rsidR="00E547E7" w:rsidRPr="00CE36E8">
        <w:t xml:space="preserve"> – </w:t>
      </w:r>
      <w:r w:rsidRPr="00CE36E8">
        <w:t>30</w:t>
      </w:r>
      <w:r w:rsidR="00E547E7" w:rsidRPr="00CE36E8">
        <w:rPr>
          <w:vertAlign w:val="superscript"/>
        </w:rPr>
        <w:t>th</w:t>
      </w:r>
      <w:r w:rsidR="00723711" w:rsidRPr="00CE36E8">
        <w:rPr>
          <w:vertAlign w:val="superscript"/>
        </w:rPr>
        <w:t xml:space="preserve"> </w:t>
      </w:r>
      <w:r w:rsidRPr="00CE36E8">
        <w:t>August</w:t>
      </w:r>
      <w:r w:rsidR="00E547E7" w:rsidRPr="00CE36E8">
        <w:t xml:space="preserve"> 2019</w:t>
      </w:r>
    </w:p>
    <w:p w14:paraId="2CC9D167" w14:textId="480F5E2E" w:rsidR="00E90E49" w:rsidRPr="00CE36E8" w:rsidRDefault="00E90E49" w:rsidP="00357380">
      <w:pPr>
        <w:pStyle w:val="3GPPHeader"/>
      </w:pPr>
    </w:p>
    <w:p w14:paraId="55732ADE" w14:textId="58F451D9" w:rsidR="00E90E49" w:rsidRPr="00CE36E8" w:rsidRDefault="00E90E49" w:rsidP="00311702">
      <w:pPr>
        <w:pStyle w:val="3GPPHeader"/>
        <w:rPr>
          <w:sz w:val="22"/>
        </w:rPr>
      </w:pPr>
      <w:r w:rsidRPr="00CE36E8">
        <w:rPr>
          <w:sz w:val="22"/>
        </w:rPr>
        <w:t>Agenda Item:</w:t>
      </w:r>
      <w:r w:rsidRPr="00CE36E8">
        <w:rPr>
          <w:sz w:val="22"/>
        </w:rPr>
        <w:tab/>
      </w:r>
      <w:r w:rsidR="00824CB3" w:rsidRPr="00CE36E8">
        <w:rPr>
          <w:sz w:val="22"/>
        </w:rPr>
        <w:t>6.2.1.</w:t>
      </w:r>
      <w:r w:rsidR="00980C40" w:rsidRPr="00CE36E8">
        <w:rPr>
          <w:sz w:val="22"/>
        </w:rPr>
        <w:t>8</w:t>
      </w:r>
    </w:p>
    <w:p w14:paraId="3E40674E" w14:textId="77777777" w:rsidR="00E90E49" w:rsidRPr="00CE36E8" w:rsidRDefault="003D3C45" w:rsidP="00F64C2B">
      <w:pPr>
        <w:pStyle w:val="3GPPHeader"/>
        <w:rPr>
          <w:sz w:val="22"/>
        </w:rPr>
      </w:pPr>
      <w:r w:rsidRPr="00CE36E8">
        <w:rPr>
          <w:sz w:val="22"/>
        </w:rPr>
        <w:t>Source:</w:t>
      </w:r>
      <w:r w:rsidR="00E90E49" w:rsidRPr="00CE36E8">
        <w:rPr>
          <w:sz w:val="22"/>
        </w:rPr>
        <w:tab/>
      </w:r>
      <w:r w:rsidR="00F64C2B" w:rsidRPr="00CE36E8">
        <w:rPr>
          <w:sz w:val="22"/>
        </w:rPr>
        <w:t>Ericsson</w:t>
      </w:r>
    </w:p>
    <w:p w14:paraId="47C80150" w14:textId="5D480162" w:rsidR="00E90E49" w:rsidRPr="00CE36E8" w:rsidRDefault="003D3C45" w:rsidP="00311702">
      <w:pPr>
        <w:pStyle w:val="3GPPHeader"/>
        <w:rPr>
          <w:sz w:val="22"/>
        </w:rPr>
      </w:pPr>
      <w:r w:rsidRPr="00CE36E8">
        <w:rPr>
          <w:sz w:val="22"/>
        </w:rPr>
        <w:t>Title:</w:t>
      </w:r>
      <w:r w:rsidR="00E90E49" w:rsidRPr="00CE36E8">
        <w:rPr>
          <w:sz w:val="22"/>
        </w:rPr>
        <w:tab/>
      </w:r>
      <w:r w:rsidR="00EF763D" w:rsidRPr="00CE36E8">
        <w:rPr>
          <w:sz w:val="22"/>
        </w:rPr>
        <w:t xml:space="preserve">Use of LTE </w:t>
      </w:r>
      <w:r w:rsidR="009E65CB" w:rsidRPr="00CE36E8">
        <w:rPr>
          <w:sz w:val="22"/>
        </w:rPr>
        <w:t>c</w:t>
      </w:r>
      <w:r w:rsidR="00EF763D" w:rsidRPr="00CE36E8">
        <w:rPr>
          <w:sz w:val="22"/>
        </w:rPr>
        <w:t xml:space="preserve">ontrol </w:t>
      </w:r>
      <w:r w:rsidR="009E65CB" w:rsidRPr="00CE36E8">
        <w:rPr>
          <w:sz w:val="22"/>
        </w:rPr>
        <w:t>c</w:t>
      </w:r>
      <w:r w:rsidR="00EF763D" w:rsidRPr="00CE36E8">
        <w:rPr>
          <w:sz w:val="22"/>
        </w:rPr>
        <w:t xml:space="preserve">hannel </w:t>
      </w:r>
      <w:r w:rsidR="009E65CB" w:rsidRPr="00CE36E8">
        <w:rPr>
          <w:sz w:val="22"/>
        </w:rPr>
        <w:t>r</w:t>
      </w:r>
      <w:r w:rsidR="00EF763D" w:rsidRPr="00CE36E8">
        <w:rPr>
          <w:sz w:val="22"/>
        </w:rPr>
        <w:t xml:space="preserve">egion for DL </w:t>
      </w:r>
      <w:r w:rsidR="009E65CB" w:rsidRPr="00CE36E8">
        <w:rPr>
          <w:sz w:val="22"/>
        </w:rPr>
        <w:t>t</w:t>
      </w:r>
      <w:r w:rsidR="00EF763D" w:rsidRPr="00CE36E8">
        <w:rPr>
          <w:sz w:val="22"/>
        </w:rPr>
        <w:t>ransmission</w:t>
      </w:r>
      <w:r w:rsidR="009E65CB" w:rsidRPr="00CE36E8">
        <w:rPr>
          <w:sz w:val="22"/>
        </w:rPr>
        <w:t xml:space="preserve"> in LTE-MTC</w:t>
      </w:r>
    </w:p>
    <w:p w14:paraId="5EE73C11" w14:textId="7E2F41E3" w:rsidR="00E90E49" w:rsidRPr="00CE36E8" w:rsidRDefault="00E90E49" w:rsidP="00D546FF">
      <w:pPr>
        <w:pStyle w:val="3GPPHeader"/>
        <w:rPr>
          <w:sz w:val="22"/>
        </w:rPr>
      </w:pPr>
      <w:r w:rsidRPr="00CE36E8">
        <w:rPr>
          <w:sz w:val="22"/>
        </w:rPr>
        <w:t>Document for:</w:t>
      </w:r>
      <w:r w:rsidRPr="00CE36E8">
        <w:rPr>
          <w:sz w:val="22"/>
        </w:rPr>
        <w:tab/>
        <w:t>Discussion</w:t>
      </w:r>
      <w:r w:rsidR="00916157" w:rsidRPr="00CE36E8">
        <w:rPr>
          <w:sz w:val="22"/>
        </w:rPr>
        <w:t xml:space="preserve"> and</w:t>
      </w:r>
      <w:r w:rsidRPr="00CE36E8">
        <w:rPr>
          <w:sz w:val="22"/>
        </w:rPr>
        <w:t xml:space="preserve"> Decision</w:t>
      </w:r>
    </w:p>
    <w:p w14:paraId="67F8487E" w14:textId="77777777" w:rsidR="00E90E49" w:rsidRPr="00CE36E8" w:rsidRDefault="00E90E49" w:rsidP="00E90E49"/>
    <w:p w14:paraId="3B01EE54" w14:textId="6FF9CCA1" w:rsidR="00E90E49" w:rsidRPr="00150D8F" w:rsidRDefault="00D45B59" w:rsidP="00CE0424">
      <w:pPr>
        <w:pStyle w:val="Heading1"/>
        <w:rPr>
          <w:lang w:val="en-US"/>
        </w:rPr>
      </w:pPr>
      <w:r>
        <w:rPr>
          <w:lang w:val="en-US"/>
        </w:rPr>
        <w:t>1</w:t>
      </w:r>
      <w:r>
        <w:rPr>
          <w:lang w:val="en-US"/>
        </w:rPr>
        <w:tab/>
      </w:r>
      <w:r w:rsidR="00E90E49" w:rsidRPr="00150D8F">
        <w:rPr>
          <w:lang w:val="en-US"/>
        </w:rPr>
        <w:t>Introduction</w:t>
      </w:r>
    </w:p>
    <w:p w14:paraId="7F82BBC2" w14:textId="419E9A83" w:rsidR="0095519C" w:rsidRPr="00CE36E8" w:rsidRDefault="002E0245" w:rsidP="00CE0424">
      <w:pPr>
        <w:pStyle w:val="BodyText"/>
      </w:pPr>
      <w:r w:rsidRPr="00CE36E8">
        <w:t>The</w:t>
      </w:r>
      <w:r w:rsidR="00077AE1" w:rsidRPr="00CE36E8">
        <w:t xml:space="preserve"> </w:t>
      </w:r>
      <w:r w:rsidRPr="00CE36E8">
        <w:t xml:space="preserve">Rel-16 </w:t>
      </w:r>
      <w:r w:rsidR="00077AE1" w:rsidRPr="00CE36E8">
        <w:t>Work Item (WI) on “</w:t>
      </w:r>
      <w:r w:rsidRPr="00CE36E8">
        <w:t>Additional</w:t>
      </w:r>
      <w:r w:rsidR="00077AE1" w:rsidRPr="00CE36E8">
        <w:t xml:space="preserve"> MTC enhancements</w:t>
      </w:r>
      <w:r w:rsidR="007C0B62" w:rsidRPr="00CE36E8">
        <w:t xml:space="preserve"> </w:t>
      </w:r>
      <w:r w:rsidR="000D6E3C" w:rsidRPr="00CE36E8">
        <w:t>for LTE</w:t>
      </w:r>
      <w:r w:rsidR="00077AE1" w:rsidRPr="00CE36E8">
        <w:t xml:space="preserve">” </w:t>
      </w:r>
      <w:r w:rsidR="00AA3EF8" w:rsidRPr="00150D8F">
        <w:fldChar w:fldCharType="begin"/>
      </w:r>
      <w:r w:rsidR="00AA3EF8" w:rsidRPr="00CE36E8">
        <w:instrText xml:space="preserve"> REF _Ref521234735 \r \h </w:instrText>
      </w:r>
      <w:r w:rsidR="00AA3EF8" w:rsidRPr="00150D8F">
        <w:fldChar w:fldCharType="separate"/>
      </w:r>
      <w:r w:rsidR="00F800E7">
        <w:t>[1]</w:t>
      </w:r>
      <w:r w:rsidR="00AA3EF8" w:rsidRPr="00150D8F">
        <w:fldChar w:fldCharType="end"/>
      </w:r>
      <w:r w:rsidRPr="00CE36E8">
        <w:t xml:space="preserve"> has the following as one of its objectives</w:t>
      </w:r>
      <w:r w:rsidR="0095519C" w:rsidRPr="00CE36E8">
        <w:t>:</w:t>
      </w:r>
    </w:p>
    <w:tbl>
      <w:tblPr>
        <w:tblStyle w:val="TableGrid"/>
        <w:tblW w:w="0" w:type="auto"/>
        <w:tblLook w:val="04A0" w:firstRow="1" w:lastRow="0" w:firstColumn="1" w:lastColumn="0" w:noHBand="0" w:noVBand="1"/>
      </w:tblPr>
      <w:tblGrid>
        <w:gridCol w:w="9629"/>
      </w:tblGrid>
      <w:tr w:rsidR="0095519C" w:rsidRPr="00CE36E8" w14:paraId="3C942119" w14:textId="77777777" w:rsidTr="00EF763D">
        <w:tc>
          <w:tcPr>
            <w:tcW w:w="9629" w:type="dxa"/>
          </w:tcPr>
          <w:p w14:paraId="7E306429" w14:textId="25E98235" w:rsidR="008C600F" w:rsidRDefault="008C600F" w:rsidP="008C600F">
            <w:pPr>
              <w:spacing w:after="0"/>
              <w:rPr>
                <w:rFonts w:ascii="Arial" w:hAnsi="Arial" w:cs="Arial"/>
                <w:bCs/>
                <w:lang w:val="en-GB"/>
              </w:rPr>
            </w:pPr>
            <w:r w:rsidRPr="008C600F">
              <w:rPr>
                <w:rFonts w:ascii="Arial" w:hAnsi="Arial" w:cs="Arial"/>
                <w:bCs/>
                <w:lang w:val="en-GB"/>
              </w:rPr>
              <w:t>The objective is to specify the following set of improvements for machine-type communications for BL/CE UEs.</w:t>
            </w:r>
          </w:p>
          <w:p w14:paraId="0A34E819" w14:textId="77777777" w:rsidR="002E0245" w:rsidRPr="00CE36E8" w:rsidRDefault="002E0245" w:rsidP="008C600F">
            <w:pPr>
              <w:spacing w:after="0"/>
              <w:rPr>
                <w:rFonts w:ascii="Arial" w:hAnsi="Arial" w:cs="Arial"/>
                <w:bCs/>
              </w:rPr>
            </w:pPr>
          </w:p>
          <w:p w14:paraId="18487CD6" w14:textId="2B481DE1" w:rsidR="008C600F" w:rsidRPr="008C600F" w:rsidRDefault="008C600F" w:rsidP="00EF763D">
            <w:pPr>
              <w:spacing w:after="0"/>
              <w:rPr>
                <w:rFonts w:ascii="Arial" w:hAnsi="Arial" w:cs="Arial"/>
                <w:bCs/>
              </w:rPr>
            </w:pPr>
            <w:r w:rsidRPr="008C600F">
              <w:rPr>
                <w:rFonts w:ascii="Arial" w:hAnsi="Arial" w:cs="Arial"/>
                <w:bCs/>
                <w:lang w:val="en-GB"/>
              </w:rPr>
              <w:t>[…]</w:t>
            </w:r>
          </w:p>
          <w:p w14:paraId="0EAE3109" w14:textId="77777777" w:rsidR="002E0245" w:rsidRDefault="002E0245" w:rsidP="00EF763D">
            <w:pPr>
              <w:spacing w:after="0"/>
              <w:rPr>
                <w:rFonts w:ascii="Arial" w:hAnsi="Arial" w:cs="Arial"/>
                <w:b/>
                <w:bCs/>
              </w:rPr>
            </w:pPr>
          </w:p>
          <w:p w14:paraId="7A8A10F7" w14:textId="2AB8CD71" w:rsidR="00EF763D" w:rsidRPr="008C600F" w:rsidRDefault="00EF763D" w:rsidP="00EF763D">
            <w:pPr>
              <w:spacing w:after="0"/>
              <w:rPr>
                <w:rFonts w:ascii="Arial" w:hAnsi="Arial" w:cs="Arial"/>
                <w:b/>
                <w:bCs/>
              </w:rPr>
            </w:pPr>
            <w:r w:rsidRPr="008C600F">
              <w:rPr>
                <w:rFonts w:ascii="Arial" w:hAnsi="Arial" w:cs="Arial"/>
                <w:b/>
                <w:bCs/>
              </w:rPr>
              <w:t>Stand-alone deployment:</w:t>
            </w:r>
          </w:p>
          <w:p w14:paraId="1DB9DAC1" w14:textId="77777777" w:rsidR="00EF763D" w:rsidRPr="00CE36E8" w:rsidRDefault="00EF763D" w:rsidP="00EF763D">
            <w:pPr>
              <w:numPr>
                <w:ilvl w:val="0"/>
                <w:numId w:val="26"/>
              </w:numPr>
              <w:spacing w:after="0"/>
              <w:rPr>
                <w:rFonts w:ascii="Arial" w:hAnsi="Arial" w:cs="Arial"/>
                <w:bCs/>
              </w:rPr>
            </w:pPr>
            <w:r w:rsidRPr="00CE36E8">
              <w:rPr>
                <w:rFonts w:ascii="Arial" w:hAnsi="Arial" w:cs="Arial"/>
                <w:bCs/>
              </w:rPr>
              <w:t>Enable the use of LTE control channel region for DL transmission (MPDCCH/PDSCH) to BL/CE UEs [RAN1, RAN2, RAN4]</w:t>
            </w:r>
          </w:p>
          <w:p w14:paraId="7E09DDE0" w14:textId="2565A944" w:rsidR="00EF763D" w:rsidRPr="00CE36E8" w:rsidRDefault="00EF763D" w:rsidP="00EF763D">
            <w:pPr>
              <w:numPr>
                <w:ilvl w:val="1"/>
                <w:numId w:val="26"/>
              </w:numPr>
              <w:spacing w:after="0"/>
              <w:rPr>
                <w:rFonts w:ascii="Arial" w:hAnsi="Arial" w:cs="Arial"/>
                <w:bCs/>
              </w:rPr>
            </w:pPr>
            <w:r w:rsidRPr="00CE36E8">
              <w:rPr>
                <w:rFonts w:ascii="Arial" w:hAnsi="Arial" w:cs="Arial"/>
                <w:bCs/>
              </w:rPr>
              <w:t>This deployment mode should support legacy operation for legacy BL/CE UEs.</w:t>
            </w:r>
          </w:p>
          <w:p w14:paraId="46CCDF02" w14:textId="3ADD1D11" w:rsidR="0095519C" w:rsidRPr="00CE36E8" w:rsidRDefault="0095519C" w:rsidP="00EF763D">
            <w:pPr>
              <w:pStyle w:val="BodyText"/>
            </w:pPr>
          </w:p>
        </w:tc>
      </w:tr>
    </w:tbl>
    <w:p w14:paraId="5E12C06D" w14:textId="77777777" w:rsidR="008F472E" w:rsidRPr="00CE36E8" w:rsidRDefault="008F472E" w:rsidP="00CE0424">
      <w:pPr>
        <w:pStyle w:val="BodyText"/>
        <w:rPr>
          <w:highlight w:val="yellow"/>
        </w:rPr>
      </w:pPr>
    </w:p>
    <w:p w14:paraId="4FBCA825" w14:textId="0F9F6540" w:rsidR="00C92686" w:rsidRPr="00C92686" w:rsidRDefault="001276FD" w:rsidP="00D7680A">
      <w:pPr>
        <w:pStyle w:val="BodyText"/>
        <w:rPr>
          <w:lang w:val="en-GB"/>
        </w:rPr>
      </w:pPr>
      <w:r w:rsidRPr="00CE36E8">
        <w:t xml:space="preserve">The topic </w:t>
      </w:r>
      <w:r w:rsidR="00B20B20" w:rsidRPr="00CE36E8">
        <w:t xml:space="preserve">has been discussed in </w:t>
      </w:r>
      <w:r w:rsidR="00DB668F" w:rsidRPr="00CE36E8">
        <w:t xml:space="preserve">contributions to </w:t>
      </w:r>
      <w:r w:rsidR="00B20B20" w:rsidRPr="00CE36E8">
        <w:t xml:space="preserve">several </w:t>
      </w:r>
      <w:r w:rsidRPr="00CE36E8">
        <w:t>RAN1</w:t>
      </w:r>
      <w:r w:rsidR="00B20B20" w:rsidRPr="00CE36E8">
        <w:t xml:space="preserve"> meetings</w:t>
      </w:r>
      <w:r w:rsidR="00AF50F7" w:rsidRPr="00CE36E8">
        <w:t>, as</w:t>
      </w:r>
      <w:r w:rsidR="008F472E" w:rsidRPr="00CE36E8">
        <w:t xml:space="preserve"> summarized in </w:t>
      </w:r>
      <w:r w:rsidR="00C92686">
        <w:fldChar w:fldCharType="begin"/>
      </w:r>
      <w:r w:rsidR="00C92686" w:rsidRPr="00CE36E8">
        <w:instrText xml:space="preserve"> REF _Ref525334860 \r \h </w:instrText>
      </w:r>
      <w:r w:rsidR="00C92686">
        <w:fldChar w:fldCharType="separate"/>
      </w:r>
      <w:r w:rsidR="00F800E7">
        <w:t>[2]</w:t>
      </w:r>
      <w:r w:rsidR="00C92686">
        <w:fldChar w:fldCharType="end"/>
      </w:r>
      <w:r w:rsidR="00C92686" w:rsidRPr="00CE36E8">
        <w:t>-</w:t>
      </w:r>
      <w:r w:rsidR="003E7FE3">
        <w:fldChar w:fldCharType="begin"/>
      </w:r>
      <w:r w:rsidR="003E7FE3" w:rsidRPr="00CE36E8">
        <w:instrText xml:space="preserve"> REF _Ref11743103 \r \h </w:instrText>
      </w:r>
      <w:r w:rsidR="003E7FE3">
        <w:fldChar w:fldCharType="separate"/>
      </w:r>
      <w:r w:rsidR="00F800E7">
        <w:t>[7]</w:t>
      </w:r>
      <w:r w:rsidR="003E7FE3">
        <w:fldChar w:fldCharType="end"/>
      </w:r>
      <w:r w:rsidR="008F472E" w:rsidRPr="00CE36E8">
        <w:t xml:space="preserve">. The discussions have resulted in </w:t>
      </w:r>
      <w:proofErr w:type="gramStart"/>
      <w:r w:rsidR="008F472E" w:rsidRPr="00CE36E8">
        <w:t>a number of</w:t>
      </w:r>
      <w:proofErr w:type="gramEnd"/>
      <w:r w:rsidR="0086445A" w:rsidRPr="00CE36E8">
        <w:t xml:space="preserve"> agreements </w:t>
      </w:r>
      <w:r w:rsidR="00EE2C8E" w:rsidRPr="00CE36E8">
        <w:t>which are listed in</w:t>
      </w:r>
      <w:r w:rsidR="003E7FE3" w:rsidRPr="00CE36E8">
        <w:t xml:space="preserve"> </w:t>
      </w:r>
      <w:r w:rsidR="003E7FE3">
        <w:fldChar w:fldCharType="begin"/>
      </w:r>
      <w:r w:rsidR="003E7FE3" w:rsidRPr="00CE36E8">
        <w:instrText xml:space="preserve"> REF _Ref11743119 \r \h </w:instrText>
      </w:r>
      <w:r w:rsidR="003E7FE3">
        <w:fldChar w:fldCharType="separate"/>
      </w:r>
      <w:r w:rsidR="00F800E7">
        <w:t>[8]</w:t>
      </w:r>
      <w:r w:rsidR="003E7FE3">
        <w:fldChar w:fldCharType="end"/>
      </w:r>
      <w:r w:rsidR="00C92686" w:rsidRPr="00CE36E8">
        <w:t xml:space="preserve">. </w:t>
      </w:r>
      <w:r w:rsidR="008F472E" w:rsidRPr="00CE36E8">
        <w:t xml:space="preserve">The most </w:t>
      </w:r>
      <w:r w:rsidR="008F472E" w:rsidRPr="00D7680A">
        <w:t>re</w:t>
      </w:r>
      <w:r w:rsidR="00C92686" w:rsidRPr="00D7680A">
        <w:t xml:space="preserve">cent agreements </w:t>
      </w:r>
      <w:r w:rsidR="00DB668F" w:rsidRPr="00D7680A">
        <w:t>related to the MPDCCH and PDSCH mapping, which are most relevant to the further discussion in this contribution are as follows:</w:t>
      </w:r>
    </w:p>
    <w:tbl>
      <w:tblPr>
        <w:tblStyle w:val="TableGrid1"/>
        <w:tblW w:w="0" w:type="auto"/>
        <w:tblLook w:val="04A0" w:firstRow="1" w:lastRow="0" w:firstColumn="1" w:lastColumn="0" w:noHBand="0" w:noVBand="1"/>
      </w:tblPr>
      <w:tblGrid>
        <w:gridCol w:w="9062"/>
      </w:tblGrid>
      <w:tr w:rsidR="00C92686" w:rsidRPr="00D7680A" w14:paraId="2FB8EC82" w14:textId="77777777" w:rsidTr="00C92686">
        <w:tc>
          <w:tcPr>
            <w:tcW w:w="9062" w:type="dxa"/>
          </w:tcPr>
          <w:p w14:paraId="05C5D8CE" w14:textId="77777777" w:rsidR="00DB668F" w:rsidRPr="00362806" w:rsidRDefault="00DB668F" w:rsidP="00D7680A">
            <w:pPr>
              <w:spacing w:after="0" w:line="240" w:lineRule="auto"/>
              <w:rPr>
                <w:rFonts w:ascii="Arial" w:hAnsi="Arial"/>
                <w:lang w:eastAsia="zh-CN"/>
              </w:rPr>
            </w:pPr>
            <w:r w:rsidRPr="00DE4700">
              <w:rPr>
                <w:rFonts w:ascii="Arial" w:hAnsi="Arial"/>
                <w:highlight w:val="green"/>
                <w:lang w:eastAsia="zh-CN"/>
              </w:rPr>
              <w:t>Agreement</w:t>
            </w:r>
          </w:p>
          <w:p w14:paraId="3F2DBDD0" w14:textId="77777777" w:rsidR="00281AE7" w:rsidRPr="00362806" w:rsidRDefault="00281AE7" w:rsidP="00281AE7">
            <w:pPr>
              <w:jc w:val="both"/>
              <w:rPr>
                <w:rFonts w:ascii="Arial" w:hAnsi="Arial"/>
                <w:lang w:eastAsia="zh-CN"/>
              </w:rPr>
            </w:pPr>
            <w:r w:rsidRPr="00362806">
              <w:rPr>
                <w:rFonts w:ascii="Arial" w:hAnsi="Arial"/>
                <w:lang w:eastAsia="zh-CN"/>
              </w:rPr>
              <w:t>Confirm the following working assumption with the addition of the FFS bullet for TDD special subframes</w:t>
            </w:r>
          </w:p>
          <w:p w14:paraId="58D7B3DF" w14:textId="063BCE63" w:rsidR="00281AE7" w:rsidRPr="00362806" w:rsidRDefault="00281AE7" w:rsidP="00281AE7">
            <w:pPr>
              <w:numPr>
                <w:ilvl w:val="0"/>
                <w:numId w:val="38"/>
              </w:numPr>
              <w:spacing w:after="0" w:line="240" w:lineRule="auto"/>
              <w:rPr>
                <w:rFonts w:ascii="Arial" w:hAnsi="Arial"/>
                <w:lang w:eastAsia="zh-CN"/>
              </w:rPr>
            </w:pPr>
            <w:r w:rsidRPr="00362806">
              <w:rPr>
                <w:rFonts w:ascii="Arial" w:hAnsi="Arial"/>
                <w:lang w:eastAsia="zh-CN"/>
              </w:rPr>
              <w:t xml:space="preserve">For MPDCCH mapping, a fixed mapping in time is used. The resource elements used for MPDCCH in the first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MPDCCHStart</m:t>
                  </m:r>
                </m:sub>
              </m:sSub>
            </m:oMath>
            <w:r w:rsidR="00A835EC">
              <w:rPr>
                <w:rFonts w:ascii="Arial" w:eastAsiaTheme="minorEastAsia" w:hAnsi="Arial"/>
                <w:lang w:eastAsia="zh-CN"/>
              </w:rPr>
              <w:t xml:space="preserve"> </w:t>
            </w:r>
            <w:r w:rsidRPr="00362806">
              <w:rPr>
                <w:rFonts w:ascii="Arial" w:hAnsi="Arial"/>
                <w:lang w:eastAsia="zh-CN"/>
              </w:rPr>
              <w:t xml:space="preserve">symbols in the second slot are copied into the first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MPDCCHStart</m:t>
                  </m:r>
                </m:sub>
              </m:sSub>
              <m:r>
                <w:rPr>
                  <w:rFonts w:ascii="Cambria Math" w:hAnsi="Cambria Math"/>
                  <w:lang w:eastAsia="zh-CN"/>
                </w:rPr>
                <m:t xml:space="preserve"> </m:t>
              </m:r>
            </m:oMath>
            <w:r w:rsidRPr="00362806">
              <w:rPr>
                <w:rFonts w:ascii="Arial" w:hAnsi="Arial"/>
                <w:lang w:eastAsia="zh-CN"/>
              </w:rPr>
              <w:t>symbols in the first slot.</w:t>
            </w:r>
          </w:p>
          <w:p w14:paraId="661C4DA6" w14:textId="77777777" w:rsidR="00281AE7" w:rsidRPr="00362806" w:rsidRDefault="00281AE7" w:rsidP="00281AE7">
            <w:pPr>
              <w:numPr>
                <w:ilvl w:val="1"/>
                <w:numId w:val="38"/>
              </w:numPr>
              <w:spacing w:after="0" w:line="240" w:lineRule="auto"/>
              <w:rPr>
                <w:rFonts w:ascii="Arial" w:hAnsi="Arial"/>
                <w:lang w:eastAsia="zh-CN"/>
              </w:rPr>
            </w:pPr>
            <w:r w:rsidRPr="00362806">
              <w:rPr>
                <w:rFonts w:ascii="Arial" w:hAnsi="Arial"/>
                <w:lang w:eastAsia="zh-CN"/>
              </w:rPr>
              <w:t>FFS: further MPDCCH mapping for TDD special subframes</w:t>
            </w:r>
          </w:p>
          <w:p w14:paraId="66DBB8C3" w14:textId="77777777" w:rsidR="00281AE7" w:rsidRPr="00362806" w:rsidRDefault="00281AE7" w:rsidP="00281AE7">
            <w:pPr>
              <w:rPr>
                <w:rFonts w:ascii="Arial" w:hAnsi="Arial"/>
                <w:lang w:eastAsia="zh-CN"/>
              </w:rPr>
            </w:pPr>
          </w:p>
          <w:p w14:paraId="164BFA6B" w14:textId="77777777" w:rsidR="00281AE7" w:rsidRPr="00362806" w:rsidRDefault="00281AE7" w:rsidP="00281AE7">
            <w:pPr>
              <w:rPr>
                <w:rFonts w:ascii="Arial" w:hAnsi="Arial"/>
                <w:lang w:eastAsia="zh-CN"/>
              </w:rPr>
            </w:pPr>
            <w:r w:rsidRPr="00DE4700">
              <w:rPr>
                <w:rFonts w:ascii="Arial" w:hAnsi="Arial"/>
                <w:highlight w:val="darkYellow"/>
                <w:lang w:eastAsia="zh-CN"/>
              </w:rPr>
              <w:t>Working Assumption</w:t>
            </w:r>
          </w:p>
          <w:p w14:paraId="29D6C7BA" w14:textId="1478687A" w:rsidR="00C92686" w:rsidRPr="00D7680A" w:rsidRDefault="00281AE7" w:rsidP="00C92686">
            <w:pPr>
              <w:spacing w:after="0" w:line="240" w:lineRule="auto"/>
              <w:jc w:val="both"/>
              <w:rPr>
                <w:rFonts w:ascii="Times" w:eastAsia="MS Mincho" w:hAnsi="Times" w:cs="Times New Roman"/>
                <w:sz w:val="20"/>
                <w:szCs w:val="24"/>
                <w:lang w:eastAsia="ja-JP"/>
              </w:rPr>
            </w:pPr>
            <w:r w:rsidRPr="00362806">
              <w:rPr>
                <w:rFonts w:ascii="Arial" w:hAnsi="Arial"/>
                <w:lang w:eastAsia="zh-CN"/>
              </w:rPr>
              <w:t>For MPDCCH/PDSCH transmission in LTE control region, the special subframe usage is the same as Rel-13.</w:t>
            </w:r>
          </w:p>
        </w:tc>
      </w:tr>
    </w:tbl>
    <w:p w14:paraId="64560B12" w14:textId="77777777" w:rsidR="00C92686" w:rsidRPr="00C92686" w:rsidRDefault="00C92686" w:rsidP="00C92686">
      <w:pPr>
        <w:spacing w:after="0" w:line="240" w:lineRule="auto"/>
        <w:ind w:left="720" w:hanging="720"/>
        <w:rPr>
          <w:rFonts w:ascii="Times" w:eastAsia="Batang" w:hAnsi="Times" w:cs="Times New Roman"/>
          <w:sz w:val="20"/>
          <w:szCs w:val="24"/>
          <w:lang w:val="en-GB" w:eastAsia="x-none"/>
        </w:rPr>
      </w:pPr>
    </w:p>
    <w:p w14:paraId="7EBE2B57" w14:textId="31FBADF0" w:rsidR="008447B4" w:rsidRDefault="00D45B59" w:rsidP="008447B4">
      <w:pPr>
        <w:pStyle w:val="Heading1"/>
        <w:rPr>
          <w:lang w:val="en-US"/>
        </w:rPr>
      </w:pPr>
      <w:bookmarkStart w:id="1" w:name="_Ref178064866"/>
      <w:r>
        <w:rPr>
          <w:lang w:val="en-US"/>
        </w:rPr>
        <w:lastRenderedPageBreak/>
        <w:t>2</w:t>
      </w:r>
      <w:r>
        <w:rPr>
          <w:lang w:val="en-US"/>
        </w:rPr>
        <w:tab/>
      </w:r>
      <w:r w:rsidR="004000E8" w:rsidRPr="00150D8F">
        <w:rPr>
          <w:lang w:val="en-US"/>
        </w:rPr>
        <w:t>Discussion</w:t>
      </w:r>
      <w:bookmarkEnd w:id="1"/>
    </w:p>
    <w:p w14:paraId="5A3FFA60" w14:textId="5C688FC5" w:rsidR="00F3205C" w:rsidRPr="00827329" w:rsidRDefault="007A3609" w:rsidP="005774B0">
      <w:pPr>
        <w:pStyle w:val="BodyText"/>
        <w:rPr>
          <w:rFonts w:cs="Arial"/>
        </w:rPr>
      </w:pPr>
      <w:r w:rsidRPr="00827329">
        <w:rPr>
          <w:rFonts w:cs="Arial"/>
        </w:rPr>
        <w:t>One of the differences in a</w:t>
      </w:r>
      <w:r w:rsidR="00AC6C67" w:rsidRPr="00827329">
        <w:rPr>
          <w:rFonts w:cs="Arial"/>
        </w:rPr>
        <w:t xml:space="preserve"> stand-alone LTE-M</w:t>
      </w:r>
      <w:r w:rsidR="00D10F82" w:rsidRPr="00827329">
        <w:rPr>
          <w:rFonts w:cs="Arial"/>
        </w:rPr>
        <w:t>TC</w:t>
      </w:r>
      <w:r w:rsidR="00AC6C67" w:rsidRPr="00827329">
        <w:rPr>
          <w:rFonts w:cs="Arial"/>
        </w:rPr>
        <w:t xml:space="preserve"> deployment</w:t>
      </w:r>
      <w:r w:rsidRPr="00827329">
        <w:rPr>
          <w:rFonts w:cs="Arial"/>
        </w:rPr>
        <w:t xml:space="preserve"> compared to LTE-M</w:t>
      </w:r>
      <w:r w:rsidR="00D10F82" w:rsidRPr="00827329">
        <w:rPr>
          <w:rFonts w:cs="Arial"/>
        </w:rPr>
        <w:t>TC</w:t>
      </w:r>
      <w:r w:rsidRPr="00827329">
        <w:rPr>
          <w:rFonts w:cs="Arial"/>
        </w:rPr>
        <w:t xml:space="preserve"> deployed within a Rel-</w:t>
      </w:r>
      <w:r w:rsidR="002D7ACA" w:rsidRPr="00827329">
        <w:rPr>
          <w:rFonts w:cs="Arial"/>
        </w:rPr>
        <w:t xml:space="preserve">13/14/15 LTE carrier is that the </w:t>
      </w:r>
      <w:r w:rsidR="00C82F82" w:rsidRPr="00827329">
        <w:rPr>
          <w:rFonts w:cs="Arial"/>
        </w:rPr>
        <w:t xml:space="preserve">LTE </w:t>
      </w:r>
      <w:r w:rsidR="002D7ACA" w:rsidRPr="00827329">
        <w:rPr>
          <w:rFonts w:cs="Arial"/>
        </w:rPr>
        <w:t>control region is no longer occupied by legacy Rel-8 LTE channels but can be used for the channels relevant for LTE-M</w:t>
      </w:r>
      <w:r w:rsidR="00D10F82" w:rsidRPr="00827329">
        <w:rPr>
          <w:rFonts w:cs="Arial"/>
        </w:rPr>
        <w:t>TC</w:t>
      </w:r>
      <w:r w:rsidR="002D7ACA" w:rsidRPr="00827329">
        <w:rPr>
          <w:rFonts w:cs="Arial"/>
        </w:rPr>
        <w:t xml:space="preserve">. Specifically, the WI objective </w:t>
      </w:r>
      <w:r w:rsidR="00413589" w:rsidRPr="00827329">
        <w:rPr>
          <w:rFonts w:cs="Arial"/>
        </w:rPr>
        <w:t xml:space="preserve">as it is currently formulated </w:t>
      </w:r>
      <w:r w:rsidR="002D7ACA" w:rsidRPr="00827329">
        <w:rPr>
          <w:rFonts w:cs="Arial"/>
        </w:rPr>
        <w:t>targets MPDCCH</w:t>
      </w:r>
      <w:r w:rsidR="008E73E6" w:rsidRPr="00827329">
        <w:rPr>
          <w:rFonts w:cs="Arial"/>
        </w:rPr>
        <w:t>/</w:t>
      </w:r>
      <w:r w:rsidR="002D7ACA" w:rsidRPr="00827329">
        <w:rPr>
          <w:rFonts w:cs="Arial"/>
        </w:rPr>
        <w:t xml:space="preserve">PDSCH transmission in the </w:t>
      </w:r>
      <w:r w:rsidR="00413589" w:rsidRPr="00827329">
        <w:rPr>
          <w:rFonts w:cs="Arial"/>
        </w:rPr>
        <w:t>LTE control channel</w:t>
      </w:r>
      <w:r w:rsidR="002D7ACA" w:rsidRPr="00827329">
        <w:rPr>
          <w:rFonts w:cs="Arial"/>
        </w:rPr>
        <w:t xml:space="preserve"> region</w:t>
      </w:r>
      <w:r w:rsidR="00F538B7" w:rsidRPr="00827329">
        <w:rPr>
          <w:rFonts w:cs="Arial"/>
        </w:rPr>
        <w:t>.</w:t>
      </w:r>
      <w:r w:rsidR="00413589" w:rsidRPr="00827329">
        <w:rPr>
          <w:rFonts w:cs="Arial"/>
        </w:rPr>
        <w:t xml:space="preserve"> </w:t>
      </w:r>
      <w:r w:rsidR="00027836" w:rsidRPr="00827329">
        <w:rPr>
          <w:rFonts w:cs="Arial"/>
        </w:rPr>
        <w:t>This WI objective has been discussed in several 3GPP RAN1 meetings and i</w:t>
      </w:r>
      <w:r w:rsidR="00414E69" w:rsidRPr="00827329">
        <w:rPr>
          <w:rFonts w:cs="Arial"/>
        </w:rPr>
        <w:t xml:space="preserve">n the following, we are </w:t>
      </w:r>
      <w:r w:rsidR="00027836" w:rsidRPr="00827329">
        <w:rPr>
          <w:rFonts w:cs="Arial"/>
        </w:rPr>
        <w:t xml:space="preserve">trying </w:t>
      </w:r>
      <w:r w:rsidR="00414E69" w:rsidRPr="00827329">
        <w:rPr>
          <w:rFonts w:cs="Arial"/>
        </w:rPr>
        <w:t xml:space="preserve">address the </w:t>
      </w:r>
      <w:r w:rsidR="00027836" w:rsidRPr="00827329">
        <w:rPr>
          <w:rFonts w:cs="Arial"/>
        </w:rPr>
        <w:t xml:space="preserve">corresponding open issues.  </w:t>
      </w:r>
    </w:p>
    <w:p w14:paraId="16515FE0" w14:textId="7A235499" w:rsidR="00F3205C" w:rsidRPr="00827329" w:rsidRDefault="00413589" w:rsidP="00F3205C">
      <w:pPr>
        <w:pStyle w:val="Heading2"/>
        <w:rPr>
          <w:rFonts w:eastAsiaTheme="minorEastAsia" w:cs="Arial"/>
          <w:bCs/>
        </w:rPr>
      </w:pPr>
      <w:r w:rsidRPr="00827329">
        <w:rPr>
          <w:rFonts w:cs="Arial"/>
        </w:rPr>
        <w:t>2.</w:t>
      </w:r>
      <w:r w:rsidR="0086359E" w:rsidRPr="00827329">
        <w:rPr>
          <w:rFonts w:cs="Arial"/>
        </w:rPr>
        <w:t>1</w:t>
      </w:r>
      <w:r w:rsidR="008750C0" w:rsidRPr="00827329">
        <w:rPr>
          <w:rFonts w:cs="Arial"/>
        </w:rPr>
        <w:tab/>
      </w:r>
      <w:r w:rsidR="00EB7317" w:rsidRPr="00827329">
        <w:rPr>
          <w:rFonts w:eastAsiaTheme="minorEastAsia" w:cs="Arial"/>
          <w:bCs/>
        </w:rPr>
        <w:t>TDD special subframes</w:t>
      </w:r>
    </w:p>
    <w:p w14:paraId="50447B47" w14:textId="77777777" w:rsidR="00E665BF" w:rsidRDefault="00D11FBA" w:rsidP="0018155B">
      <w:pPr>
        <w:rPr>
          <w:rFonts w:ascii="Arial" w:hAnsi="Arial" w:cs="Arial"/>
          <w:lang w:val="en-GB" w:eastAsia="ja-JP"/>
        </w:rPr>
      </w:pPr>
      <w:r w:rsidRPr="00827329">
        <w:rPr>
          <w:rFonts w:ascii="Arial" w:hAnsi="Arial" w:cs="Arial"/>
          <w:lang w:val="en-GB" w:eastAsia="ja-JP"/>
        </w:rPr>
        <w:t>In TDD transmission, the switching from DL to UL takes place within the so-called special subframes wherein several symbols are considered as guard period</w:t>
      </w:r>
      <w:r w:rsidR="000D080E">
        <w:rPr>
          <w:rFonts w:ascii="Arial" w:hAnsi="Arial" w:cs="Arial"/>
          <w:lang w:val="en-GB" w:eastAsia="ja-JP"/>
        </w:rPr>
        <w:t>. T</w:t>
      </w:r>
      <w:r w:rsidRPr="00827329">
        <w:rPr>
          <w:rFonts w:ascii="Arial" w:hAnsi="Arial" w:cs="Arial"/>
          <w:lang w:val="en-GB" w:eastAsia="ja-JP"/>
        </w:rPr>
        <w:t xml:space="preserve">he symbols before and after the guard period are used for DL (DwPTS) and UL (UpPTS), respectively. There are different special subframes configurations based on the size of guard period, DwPTS and UpPTS, listed in </w:t>
      </w:r>
      <w:r w:rsidR="008A728A" w:rsidRPr="008A728A">
        <w:rPr>
          <w:rFonts w:ascii="Arial" w:hAnsi="Arial" w:cs="Arial"/>
          <w:lang w:val="en-GB" w:eastAsia="ja-JP"/>
        </w:rPr>
        <w:t>36.21</w:t>
      </w:r>
      <w:r w:rsidR="00E520BD">
        <w:rPr>
          <w:rFonts w:ascii="Arial" w:hAnsi="Arial" w:cs="Arial"/>
          <w:lang w:val="en-GB" w:eastAsia="ja-JP"/>
        </w:rPr>
        <w:t>1</w:t>
      </w:r>
      <w:r w:rsidR="008A728A" w:rsidRPr="008A728A">
        <w:rPr>
          <w:rFonts w:ascii="Arial" w:hAnsi="Arial" w:cs="Arial"/>
          <w:lang w:val="en-GB" w:eastAsia="ja-JP"/>
        </w:rPr>
        <w:t xml:space="preserve">, </w:t>
      </w:r>
      <w:r w:rsidR="00E520BD">
        <w:rPr>
          <w:rFonts w:ascii="Arial" w:hAnsi="Arial" w:cs="Arial"/>
          <w:lang w:val="en-GB" w:eastAsia="ja-JP"/>
        </w:rPr>
        <w:t xml:space="preserve">Table 4.2-1. </w:t>
      </w:r>
    </w:p>
    <w:p w14:paraId="5AD80C5A" w14:textId="0A1E8798" w:rsidR="00D11FBA" w:rsidRPr="00827329" w:rsidRDefault="005A4471" w:rsidP="0018155B">
      <w:pPr>
        <w:rPr>
          <w:rFonts w:ascii="Arial" w:hAnsi="Arial" w:cs="Arial"/>
          <w:lang w:val="en-GB" w:eastAsia="ja-JP"/>
        </w:rPr>
      </w:pPr>
      <w:r>
        <w:rPr>
          <w:rFonts w:ascii="Arial" w:hAnsi="Arial" w:cs="Arial"/>
          <w:lang w:val="en-GB" w:eastAsia="ja-JP"/>
        </w:rPr>
        <w:t>For</w:t>
      </w:r>
      <w:r w:rsidR="00D11FBA" w:rsidRPr="00827329">
        <w:rPr>
          <w:rFonts w:ascii="Arial" w:hAnsi="Arial" w:cs="Arial"/>
          <w:lang w:val="en-GB" w:eastAsia="ja-JP"/>
        </w:rPr>
        <w:t xml:space="preserve"> configurations 0 and 5, as only a small number of OFDM symbols (3 symbols) are allocated to DwPTS, the transmission of MPDCCH and PDCCH are not supported. Some companies suggested that as the legacy control region is available for MPDCCH and PDCCH in the standalone deployment, we can consider the transmission of PDSCH and MPDCCH in TDD special subframe configuration 0 and 5.  However, using these special subframe configurations is not backward compatible. Moreover, even by using the legacy control region for transmission of MPDCCH and PDCCH, the number of available symbols is still small. Therefore, we do not support transmitting in these special subframes and confirm the working assumption suggested in RAN 1 #97bis.</w:t>
      </w:r>
    </w:p>
    <w:p w14:paraId="7A18CAD0" w14:textId="5544D855" w:rsidR="00F1606C" w:rsidRPr="00827329" w:rsidRDefault="003F265C" w:rsidP="00F1606C">
      <w:pPr>
        <w:pStyle w:val="Proposal"/>
        <w:rPr>
          <w:rFonts w:eastAsiaTheme="minorEastAsia" w:cs="Arial"/>
          <w:bCs w:val="0"/>
        </w:rPr>
      </w:pPr>
      <w:bookmarkStart w:id="2" w:name="_Toc16871523"/>
      <w:r>
        <w:rPr>
          <w:rFonts w:cs="Arial"/>
          <w:noProof/>
          <w:lang w:eastAsia="en-GB"/>
        </w:rPr>
        <w:t>C</w:t>
      </w:r>
      <w:r w:rsidR="003974E5">
        <w:rPr>
          <w:rFonts w:cs="Arial"/>
          <w:noProof/>
          <w:lang w:eastAsia="en-GB"/>
        </w:rPr>
        <w:t>onfirm</w:t>
      </w:r>
      <w:r w:rsidR="00F1606C" w:rsidRPr="00827329">
        <w:rPr>
          <w:rFonts w:cs="Arial"/>
          <w:noProof/>
          <w:lang w:eastAsia="en-GB"/>
        </w:rPr>
        <w:t xml:space="preserve"> the working assumption that </w:t>
      </w:r>
      <w:r w:rsidR="00F1606C" w:rsidRPr="00827329">
        <w:rPr>
          <w:rFonts w:cs="Arial"/>
          <w:bCs w:val="0"/>
          <w:noProof/>
          <w:lang w:eastAsia="en-GB"/>
        </w:rPr>
        <w:t>for MPDCCH/PDSCH transmission in LTE control region, the special subframe usage is the same as Rel-13.</w:t>
      </w:r>
      <w:bookmarkEnd w:id="2"/>
    </w:p>
    <w:p w14:paraId="7938260D" w14:textId="77777777" w:rsidR="00F1606C" w:rsidRPr="00827329" w:rsidRDefault="00F1606C" w:rsidP="00827329">
      <w:pPr>
        <w:rPr>
          <w:rFonts w:ascii="Arial" w:hAnsi="Arial" w:cs="Arial"/>
        </w:rPr>
      </w:pPr>
    </w:p>
    <w:p w14:paraId="69BB9801" w14:textId="3FAD156C" w:rsidR="009B3AFB" w:rsidRPr="00827329" w:rsidRDefault="009B3AFB" w:rsidP="00827329">
      <w:pPr>
        <w:pStyle w:val="Heading3"/>
        <w:rPr>
          <w:rFonts w:cs="Arial"/>
        </w:rPr>
      </w:pPr>
      <w:r w:rsidRPr="00827329">
        <w:rPr>
          <w:rFonts w:cs="Arial"/>
        </w:rPr>
        <w:t>2.1.1</w:t>
      </w:r>
      <w:r w:rsidRPr="00827329">
        <w:rPr>
          <w:rFonts w:cs="Arial"/>
        </w:rPr>
        <w:tab/>
        <w:t>PDSCH transmission</w:t>
      </w:r>
    </w:p>
    <w:p w14:paraId="28005184" w14:textId="1DC7C382" w:rsidR="00C92686" w:rsidRPr="00827329" w:rsidRDefault="00FA36F0" w:rsidP="00F3205C">
      <w:pPr>
        <w:pStyle w:val="BodyText"/>
        <w:rPr>
          <w:rFonts w:cs="Arial"/>
          <w:bCs/>
        </w:rPr>
      </w:pPr>
      <w:r w:rsidRPr="00827329">
        <w:rPr>
          <w:rFonts w:cs="Arial"/>
          <w:bCs/>
        </w:rPr>
        <w:t xml:space="preserve">According to the current RAN1 agreements, PDSCH transmission in the LTE control region is performed by first using the legacy rate-matching, then continue the mapping by using wrap around starting with OFDM symbol 0. </w:t>
      </w:r>
      <w:r w:rsidR="007911F3" w:rsidRPr="00827329">
        <w:rPr>
          <w:rFonts w:cs="Arial"/>
          <w:bCs/>
        </w:rPr>
        <w:t xml:space="preserve">In </w:t>
      </w:r>
      <w:r w:rsidR="007911F3" w:rsidRPr="00827329">
        <w:rPr>
          <w:rFonts w:cs="Arial"/>
          <w:bCs/>
        </w:rPr>
        <w:fldChar w:fldCharType="begin"/>
      </w:r>
      <w:r w:rsidR="007911F3" w:rsidRPr="00827329">
        <w:rPr>
          <w:rFonts w:cs="Arial"/>
          <w:bCs/>
        </w:rPr>
        <w:instrText xml:space="preserve"> REF _Ref7528061 \r \h </w:instrText>
      </w:r>
      <w:r w:rsidR="00827329" w:rsidRPr="003974E5">
        <w:rPr>
          <w:rFonts w:cs="Arial"/>
          <w:bCs/>
        </w:rPr>
        <w:instrText xml:space="preserve"> \* MERGEFORMAT </w:instrText>
      </w:r>
      <w:r w:rsidR="007911F3" w:rsidRPr="00827329">
        <w:rPr>
          <w:rFonts w:cs="Arial"/>
          <w:bCs/>
        </w:rPr>
      </w:r>
      <w:r w:rsidR="007911F3" w:rsidRPr="00827329">
        <w:rPr>
          <w:rFonts w:cs="Arial"/>
          <w:bCs/>
        </w:rPr>
        <w:fldChar w:fldCharType="separate"/>
      </w:r>
      <w:r w:rsidR="00F800E7">
        <w:rPr>
          <w:rFonts w:cs="Arial"/>
          <w:bCs/>
        </w:rPr>
        <w:t>[9]</w:t>
      </w:r>
      <w:r w:rsidR="007911F3" w:rsidRPr="00827329">
        <w:rPr>
          <w:rFonts w:cs="Arial"/>
          <w:bCs/>
        </w:rPr>
        <w:fldChar w:fldCharType="end"/>
      </w:r>
      <w:r w:rsidR="00A62410">
        <w:rPr>
          <w:rFonts w:cs="Arial"/>
          <w:bCs/>
        </w:rPr>
        <w:t>,</w:t>
      </w:r>
      <w:r w:rsidR="007911F3" w:rsidRPr="00827329">
        <w:rPr>
          <w:rFonts w:cs="Arial"/>
          <w:bCs/>
        </w:rPr>
        <w:t xml:space="preserve"> it was argued that a clarification was needed for the TDD case, which was also included as a proposal in the feature lead summary in </w:t>
      </w:r>
      <w:r w:rsidR="007911F3" w:rsidRPr="00827329">
        <w:rPr>
          <w:rFonts w:cs="Arial"/>
          <w:bCs/>
        </w:rPr>
        <w:fldChar w:fldCharType="begin"/>
      </w:r>
      <w:r w:rsidR="007911F3" w:rsidRPr="003F265C">
        <w:rPr>
          <w:rFonts w:cs="Arial"/>
          <w:bCs/>
        </w:rPr>
        <w:instrText xml:space="preserve"> REF _Ref7527272 \r \h </w:instrText>
      </w:r>
      <w:r w:rsidR="00827329" w:rsidRPr="00827329">
        <w:rPr>
          <w:rFonts w:cs="Arial"/>
          <w:bCs/>
        </w:rPr>
        <w:instrText xml:space="preserve"> \* MERGEFORMAT </w:instrText>
      </w:r>
      <w:r w:rsidR="007911F3" w:rsidRPr="00827329">
        <w:rPr>
          <w:rFonts w:cs="Arial"/>
          <w:bCs/>
        </w:rPr>
      </w:r>
      <w:r w:rsidR="007911F3" w:rsidRPr="00827329">
        <w:rPr>
          <w:rFonts w:cs="Arial"/>
          <w:bCs/>
        </w:rPr>
        <w:fldChar w:fldCharType="separate"/>
      </w:r>
      <w:r w:rsidR="00F800E7">
        <w:rPr>
          <w:rFonts w:cs="Arial"/>
          <w:bCs/>
        </w:rPr>
        <w:t>[6]</w:t>
      </w:r>
      <w:r w:rsidR="007911F3" w:rsidRPr="00827329">
        <w:rPr>
          <w:rFonts w:cs="Arial"/>
          <w:bCs/>
        </w:rPr>
        <w:fldChar w:fldCharType="end"/>
      </w:r>
      <w:r w:rsidR="007911F3" w:rsidRPr="00827329">
        <w:rPr>
          <w:rFonts w:cs="Arial"/>
          <w:bCs/>
        </w:rPr>
        <w:t xml:space="preserve">. </w:t>
      </w:r>
    </w:p>
    <w:p w14:paraId="2F43030A" w14:textId="5A4ED80B" w:rsidR="00364C86" w:rsidRPr="00827329" w:rsidRDefault="007911F3" w:rsidP="00364C86">
      <w:pPr>
        <w:pStyle w:val="BodyText"/>
      </w:pPr>
      <w:r w:rsidRPr="003F265C">
        <w:rPr>
          <w:rFonts w:cs="Arial"/>
          <w:bCs/>
        </w:rPr>
        <w:t>F</w:t>
      </w:r>
      <w:r w:rsidR="00E6599D" w:rsidRPr="003F265C">
        <w:rPr>
          <w:rFonts w:cs="Arial"/>
          <w:bCs/>
        </w:rPr>
        <w:t xml:space="preserve">or the application to </w:t>
      </w:r>
      <w:r w:rsidR="00E6599D" w:rsidRPr="003F265C">
        <w:rPr>
          <w:rFonts w:eastAsiaTheme="minorEastAsia" w:cs="Arial"/>
          <w:bCs/>
        </w:rPr>
        <w:t xml:space="preserve">TDD special subframes, it </w:t>
      </w:r>
      <w:r w:rsidR="00B9210A" w:rsidRPr="003F265C">
        <w:rPr>
          <w:rFonts w:eastAsiaTheme="minorEastAsia" w:cs="Arial"/>
          <w:bCs/>
        </w:rPr>
        <w:t>may need to be</w:t>
      </w:r>
      <w:r w:rsidR="00E6599D" w:rsidRPr="003F265C">
        <w:rPr>
          <w:rFonts w:eastAsiaTheme="minorEastAsia" w:cs="Arial"/>
          <w:bCs/>
        </w:rPr>
        <w:t xml:space="preserve"> clarified that the legacy PDSCH mapping is applied to the symbols </w:t>
      </w:r>
      <w:r w:rsidR="00B9210A" w:rsidRPr="003F265C">
        <w:rPr>
          <w:rFonts w:eastAsiaTheme="minorEastAsia" w:cs="Arial"/>
          <w:bCs/>
        </w:rPr>
        <w:t>used</w:t>
      </w:r>
      <w:r w:rsidR="00E6599D" w:rsidRPr="003F265C">
        <w:rPr>
          <w:rFonts w:eastAsiaTheme="minorEastAsia" w:cs="Arial"/>
          <w:bCs/>
        </w:rPr>
        <w:t xml:space="preserve"> for DL transmission</w:t>
      </w:r>
      <w:r w:rsidR="00E6599D" w:rsidRPr="00827329">
        <w:rPr>
          <w:rFonts w:eastAsiaTheme="minorEastAsia"/>
          <w:bCs/>
        </w:rPr>
        <w:t xml:space="preserve">, and the rate-matching </w:t>
      </w:r>
      <w:r w:rsidR="0005125E" w:rsidRPr="00827329">
        <w:rPr>
          <w:rFonts w:eastAsiaTheme="minorEastAsia"/>
          <w:bCs/>
        </w:rPr>
        <w:t>should continue</w:t>
      </w:r>
      <w:r w:rsidR="00B9210A" w:rsidRPr="00827329">
        <w:rPr>
          <w:rFonts w:eastAsiaTheme="minorEastAsia"/>
          <w:bCs/>
        </w:rPr>
        <w:t xml:space="preserve"> directly</w:t>
      </w:r>
      <w:r w:rsidR="0005125E" w:rsidRPr="00827329">
        <w:rPr>
          <w:rFonts w:eastAsiaTheme="minorEastAsia"/>
          <w:bCs/>
        </w:rPr>
        <w:t xml:space="preserve"> with </w:t>
      </w:r>
      <w:r w:rsidR="00B9210A" w:rsidRPr="00827329">
        <w:rPr>
          <w:rFonts w:eastAsiaTheme="minorEastAsia"/>
          <w:bCs/>
        </w:rPr>
        <w:t>OFDM symbol 0 without counting the REs in the OFDM symbols belonging to the guard period or the UL transmission. This is a sensible approach for several reasons, including simplicity and avoiding unnecessary clarifications on available REs in the</w:t>
      </w:r>
      <w:r w:rsidR="00364C86" w:rsidRPr="00827329">
        <w:rPr>
          <w:rFonts w:eastAsiaTheme="minorEastAsia"/>
          <w:bCs/>
        </w:rPr>
        <w:t xml:space="preserve"> OFDM symbols not used for DL transmissions. Furthermore, when scheduling transmissions with </w:t>
      </w:r>
      <w:proofErr w:type="gramStart"/>
      <w:r w:rsidR="00994833" w:rsidRPr="00827329">
        <w:rPr>
          <w:rFonts w:eastAsiaTheme="minorEastAsia"/>
          <w:bCs/>
        </w:rPr>
        <w:t xml:space="preserve">fairly </w:t>
      </w:r>
      <w:r w:rsidR="00364C86" w:rsidRPr="00827329">
        <w:rPr>
          <w:rFonts w:eastAsiaTheme="minorEastAsia"/>
          <w:bCs/>
        </w:rPr>
        <w:t>high</w:t>
      </w:r>
      <w:proofErr w:type="gramEnd"/>
      <w:r w:rsidR="00364C86" w:rsidRPr="00827329">
        <w:rPr>
          <w:rFonts w:eastAsiaTheme="minorEastAsia"/>
          <w:bCs/>
        </w:rPr>
        <w:t xml:space="preserve"> code rates in the special subframes, this approach would result in that the first parity bits which have not been used in the legacy PDSCH region are the first ones to be used when performing the wrap-around, regardless of the special subframe configuration being used</w:t>
      </w:r>
      <w:r w:rsidR="00364C86" w:rsidRPr="00827329">
        <w:t>.</w:t>
      </w:r>
      <w:r w:rsidR="00994833" w:rsidRPr="00827329">
        <w:t xml:space="preserve"> This avoids a situation where e.g. systematic bits are repeated rather than all parity bits being used.</w:t>
      </w:r>
    </w:p>
    <w:p w14:paraId="4D7D6F78" w14:textId="4BDFB14C" w:rsidR="00364C86" w:rsidRPr="00827329" w:rsidRDefault="00364C86" w:rsidP="00E6599D">
      <w:pPr>
        <w:pStyle w:val="Observation"/>
        <w:ind w:left="1710" w:hanging="1710"/>
      </w:pPr>
      <w:bookmarkStart w:id="3" w:name="_Toc16871521"/>
      <w:r w:rsidRPr="00827329">
        <w:t>The PDSCH rate-matching in the LTE control region for TDD special subframes may need to be clarified.</w:t>
      </w:r>
      <w:bookmarkEnd w:id="3"/>
    </w:p>
    <w:p w14:paraId="1CF04D6B" w14:textId="28C7166F" w:rsidR="00364C86" w:rsidRPr="00827329" w:rsidRDefault="00364C86" w:rsidP="00364C86">
      <w:pPr>
        <w:pStyle w:val="BodyText"/>
        <w:rPr>
          <w:rFonts w:eastAsiaTheme="minorEastAsia"/>
          <w:bCs/>
        </w:rPr>
      </w:pPr>
      <w:r w:rsidRPr="00827329">
        <w:rPr>
          <w:rFonts w:eastAsiaTheme="minorEastAsia"/>
          <w:bCs/>
        </w:rPr>
        <w:t xml:space="preserve">We therefore propose the following to be agreed as a clarification to earlier agreements: </w:t>
      </w:r>
    </w:p>
    <w:p w14:paraId="49D6B26D" w14:textId="43822678" w:rsidR="00364C86" w:rsidRPr="00827329" w:rsidRDefault="00364C86" w:rsidP="00364C86">
      <w:pPr>
        <w:pStyle w:val="Proposal"/>
        <w:rPr>
          <w:rFonts w:eastAsiaTheme="minorEastAsia"/>
          <w:bCs w:val="0"/>
        </w:rPr>
      </w:pPr>
      <w:bookmarkStart w:id="4" w:name="_Toc16871524"/>
      <w:r w:rsidRPr="00827329">
        <w:rPr>
          <w:rFonts w:cs="Arial"/>
          <w:noProof/>
          <w:lang w:eastAsia="en-GB"/>
        </w:rPr>
        <w:lastRenderedPageBreak/>
        <w:t>For PDSCH transmission in LTE control region, rate-matching is done using legacy mapping for the OFDM symbols used for legacy PDSCH transmission, then wrap around starting with OFDM symbol 0.</w:t>
      </w:r>
      <w:bookmarkEnd w:id="4"/>
      <w:r w:rsidRPr="00827329">
        <w:t xml:space="preserve"> </w:t>
      </w:r>
    </w:p>
    <w:p w14:paraId="403C0F9D" w14:textId="6AC31520" w:rsidR="009B3AFB" w:rsidRDefault="009B3AFB" w:rsidP="00827329">
      <w:pPr>
        <w:pStyle w:val="Heading3"/>
      </w:pPr>
      <w:r>
        <w:t>2.1.2</w:t>
      </w:r>
      <w:r>
        <w:tab/>
        <w:t>MPDCCH transmission</w:t>
      </w:r>
    </w:p>
    <w:p w14:paraId="3FD8757C" w14:textId="11069B90" w:rsidR="00B44ABF" w:rsidRPr="00827329" w:rsidRDefault="00FA36F0" w:rsidP="007911F3">
      <w:pPr>
        <w:pStyle w:val="BodyText"/>
        <w:rPr>
          <w:bCs/>
        </w:rPr>
      </w:pPr>
      <w:r w:rsidRPr="00827329">
        <w:rPr>
          <w:bCs/>
        </w:rPr>
        <w:t xml:space="preserve">According to the current RAN1 agreements, </w:t>
      </w:r>
      <w:r w:rsidR="004134B6" w:rsidRPr="00827329">
        <w:rPr>
          <w:bCs/>
        </w:rPr>
        <w:t xml:space="preserve">MPDCCH </w:t>
      </w:r>
      <w:r w:rsidR="008C4E3A" w:rsidRPr="00827329">
        <w:rPr>
          <w:bCs/>
        </w:rPr>
        <w:t xml:space="preserve">transmission in the </w:t>
      </w:r>
      <w:r w:rsidR="0053252B" w:rsidRPr="00827329">
        <w:rPr>
          <w:bCs/>
        </w:rPr>
        <w:t xml:space="preserve">LTE </w:t>
      </w:r>
      <w:r w:rsidR="008C4E3A" w:rsidRPr="00827329">
        <w:rPr>
          <w:bCs/>
        </w:rPr>
        <w:t xml:space="preserve">control region is performed by </w:t>
      </w:r>
      <w:r w:rsidR="0053252B" w:rsidRPr="00827329">
        <w:rPr>
          <w:bCs/>
        </w:rPr>
        <w:t xml:space="preserve">mapping parts </w:t>
      </w:r>
      <w:r w:rsidR="00B15365" w:rsidRPr="00827329">
        <w:t xml:space="preserve">that the resource elements used for MPDCCH in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sidR="00B15365" w:rsidRPr="00827329">
        <w:rPr>
          <w:rFonts w:eastAsiaTheme="minorEastAsia"/>
        </w:rPr>
        <w:t xml:space="preserve"> symbols in the second slot into the first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MPDCCHStart</m:t>
            </m:r>
          </m:sub>
        </m:sSub>
      </m:oMath>
      <w:r w:rsidR="00B15365" w:rsidRPr="00827329">
        <w:rPr>
          <w:rFonts w:eastAsiaTheme="minorEastAsia"/>
        </w:rPr>
        <w:t xml:space="preserve"> symbols in the first slot</w:t>
      </w:r>
      <w:r w:rsidR="00B15365" w:rsidRPr="00827329">
        <w:t xml:space="preserve">.   </w:t>
      </w:r>
    </w:p>
    <w:p w14:paraId="17733790" w14:textId="1939F463" w:rsidR="007E1A5B" w:rsidRPr="00827329" w:rsidRDefault="00BE559F" w:rsidP="00F3205C">
      <w:pPr>
        <w:pStyle w:val="BodyText"/>
        <w:rPr>
          <w:bCs/>
        </w:rPr>
      </w:pPr>
      <w:r w:rsidRPr="00BE559F">
        <w:rPr>
          <w:bCs/>
          <w:noProof/>
        </w:rPr>
        <mc:AlternateContent>
          <mc:Choice Requires="wps">
            <w:drawing>
              <wp:anchor distT="45720" distB="45720" distL="114300" distR="114300" simplePos="0" relativeHeight="251658242" behindDoc="0" locked="0" layoutInCell="1" allowOverlap="1" wp14:anchorId="5F6128A5" wp14:editId="23736C29">
                <wp:simplePos x="0" y="0"/>
                <wp:positionH relativeFrom="column">
                  <wp:posOffset>1089660</wp:posOffset>
                </wp:positionH>
                <wp:positionV relativeFrom="paragraph">
                  <wp:posOffset>518160</wp:posOffset>
                </wp:positionV>
                <wp:extent cx="428625" cy="275590"/>
                <wp:effectExtent l="0" t="0" r="9525" b="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75590"/>
                        </a:xfrm>
                        <a:prstGeom prst="rect">
                          <a:avLst/>
                        </a:prstGeom>
                        <a:solidFill>
                          <a:srgbClr val="FFFFFF"/>
                        </a:solidFill>
                        <a:ln w="9525">
                          <a:noFill/>
                          <a:miter lim="800000"/>
                          <a:headEnd/>
                          <a:tailEnd/>
                        </a:ln>
                      </wps:spPr>
                      <wps:txbx>
                        <w:txbxContent>
                          <w:p w14:paraId="6229F28C" w14:textId="7651493E" w:rsidR="00D55A62" w:rsidRDefault="00D55A62" w:rsidP="00BE559F">
                            <w:r>
                              <w:t xml:space="preserve">CRS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6128A5" id="_x0000_t202" coordsize="21600,21600" o:spt="202" path="m,l,21600r21600,l21600,xe">
                <v:stroke joinstyle="miter"/>
                <v:path gradientshapeok="t" o:connecttype="rect"/>
              </v:shapetype>
              <v:shape id="Text Box 2" o:spid="_x0000_s1026" type="#_x0000_t202" style="position:absolute;left:0;text-align:left;margin-left:85.8pt;margin-top:40.8pt;width:33.75pt;height:21.7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" stroked="f">
                <v:textbox>
                  <w:txbxContent>
                    <w:p w14:paraId="6229F28C" w14:textId="7651493E" w:rsidR="00D55A62" w:rsidRDefault="00D55A62" w:rsidP="00BE559F">
                      <w:r>
                        <w:t xml:space="preserve">CRS </w:t>
                      </w:r>
                    </w:p>
                  </w:txbxContent>
                </v:textbox>
                <w10:wrap type="square"/>
              </v:shape>
            </w:pict>
          </mc:Fallback>
        </mc:AlternateContent>
      </w:r>
      <w:r w:rsidRPr="00BE559F">
        <w:rPr>
          <w:bCs/>
          <w:noProof/>
        </w:rPr>
        <mc:AlternateContent>
          <mc:Choice Requires="wps">
            <w:drawing>
              <wp:anchor distT="45720" distB="45720" distL="114300" distR="114300" simplePos="0" relativeHeight="251658241" behindDoc="0" locked="0" layoutInCell="1" allowOverlap="1" wp14:anchorId="60BC58A3" wp14:editId="45AB1775">
                <wp:simplePos x="0" y="0"/>
                <wp:positionH relativeFrom="column">
                  <wp:posOffset>2764670</wp:posOffset>
                </wp:positionH>
                <wp:positionV relativeFrom="paragraph">
                  <wp:posOffset>495552</wp:posOffset>
                </wp:positionV>
                <wp:extent cx="871220" cy="275590"/>
                <wp:effectExtent l="0" t="0" r="5080" b="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275590"/>
                        </a:xfrm>
                        <a:prstGeom prst="rect">
                          <a:avLst/>
                        </a:prstGeom>
                        <a:solidFill>
                          <a:srgbClr val="FFFFFF"/>
                        </a:solidFill>
                        <a:ln w="9525">
                          <a:noFill/>
                          <a:miter lim="800000"/>
                          <a:headEnd/>
                          <a:tailEnd/>
                        </a:ln>
                      </wps:spPr>
                      <wps:txbx>
                        <w:txbxContent>
                          <w:p w14:paraId="3EA61DB6" w14:textId="2265514B" w:rsidR="00D55A62" w:rsidRDefault="00D55A62">
                            <w:r>
                              <w:t>DMRS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BC58A3" id="_x0000_s1027" type="#_x0000_t202" style="position:absolute;left:0;text-align:left;margin-left:217.7pt;margin-top:39pt;width:68.6pt;height:21.7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" stroked="f">
                <v:textbox>
                  <w:txbxContent>
                    <w:p w14:paraId="3EA61DB6" w14:textId="2265514B" w:rsidR="00D55A62" w:rsidRDefault="00D55A62">
                      <w:r>
                        <w:t>DMRS</w:t>
                      </w:r>
                    </w:p>
                  </w:txbxContent>
                </v:textbox>
                <w10:wrap type="square"/>
              </v:shape>
            </w:pict>
          </mc:Fallback>
        </mc:AlternateContent>
      </w:r>
      <w:r w:rsidR="00E20CF8">
        <w:rPr>
          <w:bCs/>
          <w:noProof/>
        </w:rPr>
        <mc:AlternateContent>
          <mc:Choice Requires="wpc">
            <w:drawing>
              <wp:anchor distT="0" distB="0" distL="114300" distR="114300" simplePos="0" relativeHeight="251658240" behindDoc="0" locked="0" layoutInCell="1" allowOverlap="1" wp14:anchorId="4D3594F7" wp14:editId="671AC067">
                <wp:simplePos x="0" y="0"/>
                <wp:positionH relativeFrom="column">
                  <wp:posOffset>633730</wp:posOffset>
                </wp:positionH>
                <wp:positionV relativeFrom="paragraph">
                  <wp:posOffset>280035</wp:posOffset>
                </wp:positionV>
                <wp:extent cx="4724400" cy="3933190"/>
                <wp:effectExtent l="0" t="0" r="0" b="0"/>
                <wp:wrapTopAndBottom/>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 name="Picture 16"/>
                          <pic:cNvPicPr/>
                        </pic:nvPicPr>
                        <pic:blipFill>
                          <a:blip r:embed="rId8">
                            <a:extLst>
                              <a:ext uri="{28A0092B-C50C-407E-A947-70E740481C1C}">
                                <a14:useLocalDpi xmlns:a14="http://schemas.microsoft.com/office/drawing/2010/main" val="0"/>
                              </a:ext>
                            </a:extLst>
                          </a:blip>
                          <a:srcRect/>
                          <a:stretch>
                            <a:fillRect/>
                          </a:stretch>
                        </pic:blipFill>
                        <pic:spPr bwMode="auto">
                          <a:xfrm>
                            <a:off x="249012" y="754855"/>
                            <a:ext cx="4279900" cy="2495550"/>
                          </a:xfrm>
                          <a:prstGeom prst="rect">
                            <a:avLst/>
                          </a:prstGeom>
                          <a:noFill/>
                          <a:ln>
                            <a:noFill/>
                          </a:ln>
                        </pic:spPr>
                      </pic:pic>
                      <wpg:wgp>
                        <wpg:cNvPr id="17" name="Group 17"/>
                        <wpg:cNvGrpSpPr/>
                        <wpg:grpSpPr>
                          <a:xfrm>
                            <a:off x="414112" y="3275805"/>
                            <a:ext cx="3033395" cy="50800"/>
                            <a:chOff x="0" y="0"/>
                            <a:chExt cx="3033494" cy="51348"/>
                          </a:xfrm>
                        </wpg:grpSpPr>
                        <wps:wsp>
                          <wps:cNvPr id="18" name="Connector: Curved 18"/>
                          <wps:cNvCnPr/>
                          <wps:spPr>
                            <a:xfrm rot="16200000" flipV="1">
                              <a:off x="1033873" y="-1033873"/>
                              <a:ext cx="45719" cy="2113466"/>
                            </a:xfrm>
                            <a:prstGeom prst="curvedConnector3">
                              <a:avLst>
                                <a:gd name="adj1" fmla="val -1148531"/>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19" name="Connector: Curved 19"/>
                          <wps:cNvCnPr/>
                          <wps:spPr>
                            <a:xfrm rot="16200000" flipV="1">
                              <a:off x="1347489" y="-1030093"/>
                              <a:ext cx="45719" cy="2113466"/>
                            </a:xfrm>
                            <a:prstGeom prst="curvedConnector3">
                              <a:avLst>
                                <a:gd name="adj1" fmla="val -100269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0" name="Connector: Curved 20"/>
                          <wps:cNvCnPr/>
                          <wps:spPr>
                            <a:xfrm rot="16200000" flipV="1">
                              <a:off x="1659216" y="-1028204"/>
                              <a:ext cx="45719" cy="2106931"/>
                            </a:xfrm>
                            <a:prstGeom prst="curvedConnector3">
                              <a:avLst>
                                <a:gd name="adj1" fmla="val -721015"/>
                              </a:avLst>
                            </a:prstGeom>
                            <a:ln cap="rnd">
                              <a:miter lim="800000"/>
                              <a:tailEnd type="triangle"/>
                            </a:ln>
                          </wps:spPr>
                          <wps:style>
                            <a:lnRef idx="1">
                              <a:schemeClr val="accent1"/>
                            </a:lnRef>
                            <a:fillRef idx="0">
                              <a:schemeClr val="accent1"/>
                            </a:fillRef>
                            <a:effectRef idx="0">
                              <a:schemeClr val="accent1"/>
                            </a:effectRef>
                            <a:fontRef idx="minor">
                              <a:schemeClr val="tx1"/>
                            </a:fontRef>
                          </wps:style>
                          <wps:bodyPr/>
                        </wps:wsp>
                        <wps:wsp>
                          <wps:cNvPr id="21" name="Connector: Curved 21"/>
                          <wps:cNvCnPr/>
                          <wps:spPr>
                            <a:xfrm rot="16200000" flipV="1">
                              <a:off x="1950162" y="-1031983"/>
                              <a:ext cx="45719" cy="2120944"/>
                            </a:xfrm>
                            <a:prstGeom prst="curvedConnector3">
                              <a:avLst>
                                <a:gd name="adj1" fmla="val -544351"/>
                              </a:avLst>
                            </a:prstGeom>
                            <a:ln cap="rnd">
                              <a:prstDash val="dash"/>
                              <a:miter lim="800000"/>
                              <a:tailEnd type="triangle"/>
                            </a:ln>
                          </wps:spPr>
                          <wps:style>
                            <a:lnRef idx="1">
                              <a:schemeClr val="accent1"/>
                            </a:lnRef>
                            <a:fillRef idx="0">
                              <a:schemeClr val="accent1"/>
                            </a:fillRef>
                            <a:effectRef idx="0">
                              <a:schemeClr val="accent1"/>
                            </a:effectRef>
                            <a:fontRef idx="minor">
                              <a:schemeClr val="tx1"/>
                            </a:fontRef>
                          </wps:style>
                          <wps:bodyPr/>
                        </wps:wsp>
                      </wpg:wgp>
                      <wps:wsp>
                        <wps:cNvPr id="23" name="Straight Arrow Connector 23"/>
                        <wps:cNvCnPr/>
                        <wps:spPr>
                          <a:xfrm flipH="1">
                            <a:off x="438150" y="560717"/>
                            <a:ext cx="120770" cy="5607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a:off x="727717" y="571500"/>
                            <a:ext cx="22781" cy="54993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a:off x="2260121" y="438150"/>
                            <a:ext cx="187804" cy="2864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0E90516A" id="Canvas 14" o:spid="_x0000_s1026" editas="canvas" style="position:absolute;margin-left:49.9pt;margin-top:22.05pt;width:372pt;height:309.7pt;z-index:251658240;mso-width-relative:margin;mso-height-relative:margin" coordsize="47244,393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244;height:39331;visibility:visible;mso-wrap-style:square">
                  <v:fill o:detectmouseclick="t"/>
                  <v:path o:connecttype="none"/>
                </v:shape>
                <v:shape id="Picture 16" o:spid="_x0000_s1028" type="#_x0000_t75" style="position:absolute;left:2490;top:7548;width:42799;height:249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">
                  <v:imagedata r:id="rId9" o:title=""/>
                </v:shape>
                <v:group id="Group 17" o:spid="_x0000_s1029" style="position:absolute;left:4141;top:32758;width:30334;height:508" coordsize="30334,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8" o:spid="_x0000_s1030" type="#_x0000_t38" style="position:absolute;left:10338;top:-10338;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" adj="-248083" strokecolor="#4472c4 [3204]" strokeweight=".5pt">
                    <v:stroke endarrow="block" joinstyle="miter" endcap="round"/>
                  </v:shape>
                  <v:shape id="Connector: Curved 19" o:spid="_x0000_s1031" type="#_x0000_t38" style="position:absolute;left:13474;top:-10301;width:457;height:21134;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" adj="-216582" strokecolor="#4472c4 [3204]" strokeweight=".5pt">
                    <v:stroke endarrow="block" joinstyle="miter" endcap="round"/>
                  </v:shape>
                  <v:shape id="Connector: Curved 20" o:spid="_x0000_s1032" type="#_x0000_t38" style="position:absolute;left:16592;top:-10282;width:457;height:2106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" adj="-155739" strokecolor="#4472c4 [3204]" strokeweight=".5pt">
                    <v:stroke endarrow="block" joinstyle="miter" endcap="round"/>
                  </v:shape>
                  <v:shape id="Connector: Curved 21" o:spid="_x0000_s1033" type="#_x0000_t38" style="position:absolute;left:19501;top:-10320;width:457;height:21209;rotation:9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" adj="-117580" strokecolor="#4472c4 [3204]" strokeweight=".5pt">
                    <v:stroke dashstyle="dash" endarrow="block" joinstyle="miter" endcap="round"/>
                  </v:shape>
                </v:group>
                <v:shapetype id="_x0000_t32" coordsize="21600,21600" o:spt="32" o:oned="t" path="m,l21600,21600e" filled="f">
                  <v:path arrowok="t" fillok="f" o:connecttype="none"/>
                  <o:lock v:ext="edit" shapetype="t"/>
                </v:shapetype>
                <v:shape id="Straight Arrow Connector 23" o:spid="_x0000_s1034" type="#_x0000_t32" style="position:absolute;left:4381;top:5607;width:1208;height:56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4472c4 [3204]" strokeweight=".5pt">
                  <v:stroke endarrow="block" joinstyle="miter"/>
                </v:shape>
                <v:shape id="Straight Arrow Connector 24" o:spid="_x0000_s1035" type="#_x0000_t32" style="position:absolute;left:7277;top:5715;width:227;height:54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" strokecolor="#4472c4 [3204]" strokeweight=".5pt">
                  <v:stroke endarrow="block" joinstyle="miter"/>
                </v:shape>
                <v:shape id="Straight Arrow Connector 25" o:spid="_x0000_s1036" type="#_x0000_t32" style="position:absolute;left:22601;top:4381;width:1878;height:28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r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" strokecolor="#4472c4 [3204]" strokeweight=".5pt">
                  <v:stroke endarrow="block" joinstyle="miter"/>
                </v:shape>
                <w10:wrap type="topAndBottom"/>
              </v:group>
            </w:pict>
          </mc:Fallback>
        </mc:AlternateContent>
      </w:r>
    </w:p>
    <w:p w14:paraId="3EFCEA40" w14:textId="2B5BD156" w:rsidR="001D2F32" w:rsidRPr="00827329" w:rsidRDefault="001D2F32" w:rsidP="001D2F32">
      <w:pPr>
        <w:pStyle w:val="Caption"/>
        <w:jc w:val="center"/>
      </w:pPr>
      <w:bookmarkStart w:id="5" w:name="_Ref4772794"/>
      <w:r w:rsidRPr="00827329">
        <w:t xml:space="preserve">Figure </w:t>
      </w:r>
      <w:r w:rsidR="00D55A62">
        <w:rPr>
          <w:noProof/>
        </w:rPr>
        <w:fldChar w:fldCharType="begin"/>
      </w:r>
      <w:r w:rsidR="00D55A62" w:rsidRPr="00827329">
        <w:rPr>
          <w:noProof/>
        </w:rPr>
        <w:instrText xml:space="preserve"> SEQ Figure \* ARABIC </w:instrText>
      </w:r>
      <w:r w:rsidR="00D55A62">
        <w:rPr>
          <w:noProof/>
        </w:rPr>
        <w:fldChar w:fldCharType="separate"/>
      </w:r>
      <w:r w:rsidR="00F800E7">
        <w:rPr>
          <w:noProof/>
        </w:rPr>
        <w:t>1</w:t>
      </w:r>
      <w:r w:rsidR="00D55A62">
        <w:rPr>
          <w:noProof/>
        </w:rPr>
        <w:fldChar w:fldCharType="end"/>
      </w:r>
      <w:bookmarkEnd w:id="5"/>
      <w:r w:rsidRPr="00827329">
        <w:t xml:space="preserve"> </w:t>
      </w:r>
      <w:r w:rsidR="008711F4">
        <w:t>Agre</w:t>
      </w:r>
      <w:r w:rsidRPr="00827329">
        <w:t>ed copied OFDM symbols in normal DL subframes for normal CP</w:t>
      </w:r>
    </w:p>
    <w:p w14:paraId="06C5D67C" w14:textId="77777777" w:rsidR="00E20CF8" w:rsidRPr="00827329" w:rsidRDefault="00E20CF8" w:rsidP="00F3205C">
      <w:pPr>
        <w:pStyle w:val="BodyText"/>
        <w:rPr>
          <w:bCs/>
        </w:rPr>
      </w:pPr>
    </w:p>
    <w:p w14:paraId="110AC731" w14:textId="55F13A80" w:rsidR="00847FD2" w:rsidRPr="00827329" w:rsidRDefault="00B44ABF" w:rsidP="00847FD2">
      <w:pPr>
        <w:pStyle w:val="BodyText"/>
        <w:rPr>
          <w:bCs/>
        </w:rPr>
      </w:pPr>
      <w:r w:rsidRPr="00827329">
        <w:rPr>
          <w:bCs/>
        </w:rPr>
        <w:t xml:space="preserve">This mapping has the advantage that it’s a fixed mapping that would work in normal subframes for different number of CRS ports, </w:t>
      </w:r>
      <w:r w:rsidR="007911F3" w:rsidRPr="00827329">
        <w:rPr>
          <w:bCs/>
        </w:rPr>
        <w:t xml:space="preserve">both normal and extended cyclic prefix, and for </w:t>
      </w:r>
      <w:r w:rsidRPr="00827329">
        <w:rPr>
          <w:bCs/>
        </w:rPr>
        <w:t>different sizes of the LTE control region.</w:t>
      </w:r>
      <w:r w:rsidR="007911F3" w:rsidRPr="00827329">
        <w:rPr>
          <w:bCs/>
        </w:rPr>
        <w:t xml:space="preserve"> </w:t>
      </w:r>
    </w:p>
    <w:p w14:paraId="3A237650" w14:textId="18B6271C" w:rsidR="00847FD2" w:rsidRDefault="003879E0" w:rsidP="00847FD2">
      <w:pPr>
        <w:pStyle w:val="BodyText"/>
        <w:rPr>
          <w:bCs/>
        </w:rPr>
      </w:pPr>
      <w:r w:rsidRPr="00827329">
        <w:rPr>
          <w:bCs/>
        </w:rPr>
        <w:t xml:space="preserve">This mapping can also be considered for the TDD special </w:t>
      </w:r>
      <w:r w:rsidR="005C1510" w:rsidRPr="00827329">
        <w:rPr>
          <w:bCs/>
        </w:rPr>
        <w:t xml:space="preserve">subframes except configurations 9/10 wherein the size of DwPTS is smaller than one slot (6 symbols). </w:t>
      </w:r>
      <w:r w:rsidR="005C1510">
        <w:rPr>
          <w:bCs/>
        </w:rPr>
        <w:t xml:space="preserve">Therefore, we </w:t>
      </w:r>
      <w:r w:rsidR="00C51208">
        <w:rPr>
          <w:bCs/>
        </w:rPr>
        <w:t xml:space="preserve">can </w:t>
      </w:r>
      <w:r w:rsidR="005C1510">
        <w:rPr>
          <w:bCs/>
        </w:rPr>
        <w:t xml:space="preserve">define another mapping for these </w:t>
      </w:r>
      <w:r w:rsidR="009B3AFB">
        <w:rPr>
          <w:bCs/>
        </w:rPr>
        <w:t>configurations</w:t>
      </w:r>
      <w:r w:rsidR="00C0743E">
        <w:rPr>
          <w:bCs/>
        </w:rPr>
        <w:t>, as was proposed in</w:t>
      </w:r>
      <w:r w:rsidR="00567AE2">
        <w:rPr>
          <w:bCs/>
        </w:rPr>
        <w:t xml:space="preserve"> </w:t>
      </w:r>
      <w:r w:rsidR="0074678F">
        <w:rPr>
          <w:bCs/>
        </w:rPr>
        <w:fldChar w:fldCharType="begin"/>
      </w:r>
      <w:r w:rsidR="0074678F">
        <w:rPr>
          <w:bCs/>
        </w:rPr>
        <w:instrText xml:space="preserve"> REF _Ref16162167 \r \h </w:instrText>
      </w:r>
      <w:r w:rsidR="0074678F">
        <w:rPr>
          <w:bCs/>
        </w:rPr>
      </w:r>
      <w:r w:rsidR="0074678F">
        <w:rPr>
          <w:bCs/>
        </w:rPr>
        <w:fldChar w:fldCharType="separate"/>
      </w:r>
      <w:r w:rsidR="00F800E7">
        <w:rPr>
          <w:bCs/>
        </w:rPr>
        <w:t>[10]</w:t>
      </w:r>
      <w:r w:rsidR="0074678F">
        <w:rPr>
          <w:bCs/>
        </w:rPr>
        <w:fldChar w:fldCharType="end"/>
      </w:r>
      <w:r w:rsidR="009B3AFB">
        <w:rPr>
          <w:bCs/>
        </w:rPr>
        <w:t>.</w:t>
      </w:r>
    </w:p>
    <w:p w14:paraId="14340421" w14:textId="72FDDAE6" w:rsidR="003C17F1" w:rsidRPr="00827329" w:rsidRDefault="003C17F1" w:rsidP="003C17F1">
      <w:pPr>
        <w:pStyle w:val="Proposal"/>
        <w:rPr>
          <w:rFonts w:eastAsiaTheme="minorEastAsia"/>
          <w:bCs w:val="0"/>
        </w:rPr>
      </w:pPr>
      <w:bookmarkStart w:id="6" w:name="_Toc16871525"/>
      <w:r w:rsidRPr="00827329">
        <w:rPr>
          <w:rFonts w:cs="Arial"/>
          <w:noProof/>
          <w:lang w:eastAsia="en-GB"/>
        </w:rPr>
        <w:t>For TDD special subframe</w:t>
      </w:r>
      <w:r w:rsidR="002E4F10">
        <w:rPr>
          <w:rFonts w:cs="Arial"/>
          <w:noProof/>
          <w:lang w:eastAsia="en-GB"/>
        </w:rPr>
        <w:t>s</w:t>
      </w:r>
      <w:r w:rsidRPr="00827329">
        <w:rPr>
          <w:rFonts w:cs="Arial"/>
          <w:noProof/>
          <w:lang w:eastAsia="en-GB"/>
        </w:rPr>
        <w:t xml:space="preserve"> </w:t>
      </w:r>
      <w:r>
        <w:rPr>
          <w:rFonts w:cs="Arial"/>
          <w:noProof/>
          <w:lang w:eastAsia="en-GB"/>
        </w:rPr>
        <w:t>ex</w:t>
      </w:r>
      <w:r w:rsidR="0035753D">
        <w:rPr>
          <w:rFonts w:cs="Arial"/>
          <w:noProof/>
          <w:lang w:eastAsia="en-GB"/>
        </w:rPr>
        <w:t>cept</w:t>
      </w:r>
      <w:r w:rsidR="002E4F10">
        <w:rPr>
          <w:rFonts w:cs="Arial"/>
          <w:noProof/>
          <w:lang w:eastAsia="en-GB"/>
        </w:rPr>
        <w:t xml:space="preserve"> </w:t>
      </w:r>
      <w:r w:rsidR="002E4F10" w:rsidRPr="00827329">
        <w:rPr>
          <w:rFonts w:cs="Arial"/>
          <w:noProof/>
          <w:lang w:eastAsia="en-GB"/>
        </w:rPr>
        <w:t>configurations</w:t>
      </w:r>
      <w:r w:rsidRPr="00827329">
        <w:rPr>
          <w:rFonts w:cs="Arial"/>
          <w:noProof/>
          <w:lang w:eastAsia="en-GB"/>
        </w:rPr>
        <w:t xml:space="preserve"> 9/10, </w:t>
      </w:r>
      <w:r w:rsidRPr="00827329">
        <w:t xml:space="preserve">MPDCCH transmission in the LTE control region can be performed </w:t>
      </w:r>
      <w:r w:rsidR="002E4F10">
        <w:t>similar to</w:t>
      </w:r>
      <w:r w:rsidR="009C7FC0">
        <w:t xml:space="preserve"> the</w:t>
      </w:r>
      <w:r w:rsidR="002E4F10">
        <w:t xml:space="preserve"> regular </w:t>
      </w:r>
      <w:r w:rsidR="00E61025">
        <w:t>TDD subframes.</w:t>
      </w:r>
      <w:bookmarkEnd w:id="6"/>
    </w:p>
    <w:p w14:paraId="3F8CB622" w14:textId="77777777" w:rsidR="003C17F1" w:rsidRDefault="003C17F1" w:rsidP="00847FD2">
      <w:pPr>
        <w:pStyle w:val="BodyText"/>
        <w:rPr>
          <w:bCs/>
        </w:rPr>
      </w:pPr>
    </w:p>
    <w:p w14:paraId="67EBC224" w14:textId="09C2A563" w:rsidR="00E3733A" w:rsidRPr="00827329" w:rsidRDefault="00A6344D" w:rsidP="00A6344D">
      <w:pPr>
        <w:pStyle w:val="Proposal"/>
        <w:rPr>
          <w:rFonts w:eastAsiaTheme="minorEastAsia"/>
          <w:bCs w:val="0"/>
        </w:rPr>
      </w:pPr>
      <w:bookmarkStart w:id="7" w:name="_Toc16871526"/>
      <w:r w:rsidRPr="00827329">
        <w:rPr>
          <w:rFonts w:cs="Arial"/>
          <w:noProof/>
          <w:lang w:eastAsia="en-GB"/>
        </w:rPr>
        <w:t xml:space="preserve">For TDD special subframe configurations 9/10, </w:t>
      </w:r>
      <w:r w:rsidRPr="00827329">
        <w:t>MPDCCH transmission in the LTE control region can be performed by mapping the last OFDM symbols of DwPTS in the legacy control region.</w:t>
      </w:r>
      <w:bookmarkEnd w:id="7"/>
    </w:p>
    <w:p w14:paraId="0EC2454D" w14:textId="533D059C" w:rsidR="00BC6671" w:rsidRDefault="00BC6671" w:rsidP="001D2F32">
      <w:pPr>
        <w:pStyle w:val="Heading2"/>
      </w:pPr>
      <w:r>
        <w:lastRenderedPageBreak/>
        <w:t>2.</w:t>
      </w:r>
      <w:r w:rsidR="00C16170">
        <w:t>3</w:t>
      </w:r>
      <w:r>
        <w:tab/>
        <w:t>Further configuration aspects</w:t>
      </w:r>
    </w:p>
    <w:p w14:paraId="7E928FDE" w14:textId="25F16247" w:rsidR="001345E4" w:rsidRPr="00827329" w:rsidRDefault="001345E4" w:rsidP="001345E4">
      <w:pPr>
        <w:pStyle w:val="BodyText"/>
      </w:pPr>
      <w:r w:rsidRPr="00827329">
        <w:t>It is reasonable to assume that the default behavior in a pure stand-alone deployment would be to configure the Rel-13/14/15 start symbol for MPDCCH and PDSCH to the minimum value (</w:t>
      </w:r>
      <w:r w:rsidRPr="00827329">
        <w:rPr>
          <w:i/>
        </w:rPr>
        <w:t xml:space="preserve">i.e., </w:t>
      </w:r>
      <w:r w:rsidRPr="00827329">
        <w:t>1 or 2), and use the LTE control region for additional repetitions as outlined above. This way, the usage of the physical resources is maximized both for legacy Rel-13/14/15 UEs and Rel-16 UEs, and both for MPDCCH and PDSCH. However, it is also possible to consider other deployment scenarios that might benefit from other (semi-static) configurations, or even more dynamic use of the LTE control region. In this way, the LTE-MTC operation can be more flexible in terms of coexistence with other communications standards, such as NR or ordinary LTE.</w:t>
      </w:r>
      <w:r w:rsidR="00A322CB" w:rsidRPr="00827329">
        <w:t xml:space="preserve"> For example, </w:t>
      </w:r>
      <w:r w:rsidR="00C86339" w:rsidRPr="00827329">
        <w:t>the allocation of the</w:t>
      </w:r>
      <w:r w:rsidR="00137E07" w:rsidRPr="00827329">
        <w:t xml:space="preserve"> initial CORESET associated with the</w:t>
      </w:r>
      <w:r w:rsidR="00C86339" w:rsidRPr="00827329">
        <w:t xml:space="preserve"> NR Type0-PDCCH search space occurs </w:t>
      </w:r>
      <w:r w:rsidR="00137E07" w:rsidRPr="00827329">
        <w:t xml:space="preserve">in </w:t>
      </w:r>
      <w:r w:rsidR="00AC1318" w:rsidRPr="00827329">
        <w:t xml:space="preserve">a </w:t>
      </w:r>
      <w:r w:rsidR="00137E07" w:rsidRPr="00827329">
        <w:t xml:space="preserve">regular pattern depending on </w:t>
      </w:r>
      <w:r w:rsidR="00AC1318" w:rsidRPr="00827329">
        <w:t xml:space="preserve">the </w:t>
      </w:r>
      <w:r w:rsidR="00137E07" w:rsidRPr="00827329">
        <w:t xml:space="preserve">configuration in NR. </w:t>
      </w:r>
      <w:r w:rsidR="00B65FFE" w:rsidRPr="00827329">
        <w:t xml:space="preserve">This initial CORESET can be configured in several ways related to the location and size in terms of number of OFDM symbols and number of PRBs in frequency domain. For example, one configuration extends over one OFDM symbol and 48 PRBs, i.e. essentially the full system bandwidth in a 10 MHz carrier with 15 kHz subcarrier spacing. </w:t>
      </w:r>
      <w:r w:rsidR="00137E07" w:rsidRPr="00827329">
        <w:t xml:space="preserve">In cases where this CORESET is located within a </w:t>
      </w:r>
      <w:r w:rsidR="00694AED" w:rsidRPr="00827329">
        <w:t xml:space="preserve">time/frequency </w:t>
      </w:r>
      <w:r w:rsidR="00137E07" w:rsidRPr="00827329">
        <w:t>window corresponding to the LTE control region</w:t>
      </w:r>
      <w:r w:rsidR="00694AED" w:rsidRPr="00827329">
        <w:t>, it may be beneficial if an embedded LTE-M carrier would avoid using the LTE control region in a pattern</w:t>
      </w:r>
      <w:r w:rsidR="00B65FFE" w:rsidRPr="00827329">
        <w:t xml:space="preserve"> corresponding to the CORESET transmission pattern</w:t>
      </w:r>
      <w:r w:rsidRPr="00827329">
        <w:t>.</w:t>
      </w:r>
      <w:r w:rsidR="00694AED" w:rsidRPr="00827329">
        <w:t xml:space="preserve"> If the network does not extend the MPDCCH/PDSCH transmissions according to this pattern, it may also be beneficial for a Rel-16 UE to be notified on this pattern in order not to </w:t>
      </w:r>
      <w:r w:rsidR="00D677D9" w:rsidRPr="00827329">
        <w:t>degrade the</w:t>
      </w:r>
      <w:r w:rsidR="00694AED" w:rsidRPr="00827329">
        <w:t xml:space="preserve"> MPDCCH/PDSCH demodulation performance. </w:t>
      </w:r>
      <w:r w:rsidR="00B55A88" w:rsidRPr="00827329">
        <w:t>If the network does not extend the MPDCCH/PDSCH transmissions according to this pattern, it may also be beneficial for a Rel-16 UE to be notified on this pattern in order not to degrade the MPDCCH/PDSCH demodulation performance</w:t>
      </w:r>
      <w:r w:rsidR="00694AED" w:rsidRPr="00827329">
        <w:t>.</w:t>
      </w:r>
      <w:r w:rsidR="007B3058" w:rsidRPr="00827329">
        <w:t xml:space="preserve"> </w:t>
      </w:r>
      <w:bookmarkStart w:id="8" w:name="_Hlk528933210"/>
    </w:p>
    <w:p w14:paraId="1EB63D0D" w14:textId="45DC747C" w:rsidR="00B55A88" w:rsidRPr="00827329" w:rsidRDefault="00A322CB" w:rsidP="00B55A88">
      <w:pPr>
        <w:pStyle w:val="Observation"/>
        <w:ind w:left="1710" w:hanging="1710"/>
      </w:pPr>
      <w:bookmarkStart w:id="9" w:name="_Toc347823812"/>
      <w:bookmarkStart w:id="10" w:name="_Toc347823993"/>
      <w:bookmarkStart w:id="11" w:name="_Toc347824244"/>
      <w:bookmarkStart w:id="12" w:name="_Toc521675886"/>
      <w:bookmarkStart w:id="13" w:name="_Toc16871522"/>
      <w:r w:rsidRPr="00827329">
        <w:t xml:space="preserve">It </w:t>
      </w:r>
      <w:r w:rsidR="00AC229A" w:rsidRPr="00827329">
        <w:t>may be beneficial to</w:t>
      </w:r>
      <w:r w:rsidR="00694AED" w:rsidRPr="00827329">
        <w:t xml:space="preserve"> introduce </w:t>
      </w:r>
      <w:r w:rsidR="00C939C0" w:rsidRPr="00827329">
        <w:t xml:space="preserve">some </w:t>
      </w:r>
      <w:r w:rsidR="00694AED" w:rsidRPr="00827329">
        <w:t>flexib</w:t>
      </w:r>
      <w:r w:rsidR="00C939C0" w:rsidRPr="00827329">
        <w:t xml:space="preserve">ility </w:t>
      </w:r>
      <w:r w:rsidR="00293E48" w:rsidRPr="00827329">
        <w:t xml:space="preserve">regarding </w:t>
      </w:r>
      <w:r w:rsidR="00857948" w:rsidRPr="00827329">
        <w:t xml:space="preserve">the </w:t>
      </w:r>
      <w:r w:rsidR="00293E48" w:rsidRPr="00827329">
        <w:t>time and frequency resources</w:t>
      </w:r>
      <w:r w:rsidR="00857948" w:rsidRPr="00827329">
        <w:t xml:space="preserve"> that</w:t>
      </w:r>
      <w:r w:rsidR="00C939C0" w:rsidRPr="00827329">
        <w:t xml:space="preserve"> the UE can expect MPDCCH/PDSCH to be mapped to the LTE control region</w:t>
      </w:r>
      <w:r w:rsidR="00AC1318" w:rsidRPr="00827329">
        <w:t xml:space="preserve"> </w:t>
      </w:r>
      <w:bookmarkEnd w:id="9"/>
      <w:bookmarkEnd w:id="10"/>
      <w:bookmarkEnd w:id="11"/>
      <w:bookmarkEnd w:id="12"/>
      <w:r w:rsidR="00315E59" w:rsidRPr="00827329">
        <w:t>in order to facilitate coexistence when embedding an LTE-M</w:t>
      </w:r>
      <w:r w:rsidR="007E69B8" w:rsidRPr="00827329">
        <w:t>TC</w:t>
      </w:r>
      <w:r w:rsidR="00315E59" w:rsidRPr="00827329">
        <w:t xml:space="preserve"> stand-alone carrier in another RAT</w:t>
      </w:r>
      <w:r w:rsidR="00694AED" w:rsidRPr="00827329">
        <w:t>.</w:t>
      </w:r>
      <w:bookmarkEnd w:id="8"/>
      <w:bookmarkEnd w:id="13"/>
    </w:p>
    <w:p w14:paraId="09FC7F5D" w14:textId="1C0EF431" w:rsidR="00A575B2" w:rsidRPr="00827329" w:rsidRDefault="00B55A88" w:rsidP="00A575B2">
      <w:pPr>
        <w:pStyle w:val="BodyText"/>
      </w:pPr>
      <w:r w:rsidRPr="00827329">
        <w:t>The above example serves only as an illustration of a potential scenario in which it may be useful for a stand-alone LTE-M</w:t>
      </w:r>
      <w:r w:rsidR="007E69B8" w:rsidRPr="00827329">
        <w:t>TC</w:t>
      </w:r>
      <w:r w:rsidRPr="00827329">
        <w:t xml:space="preserve"> system to have a flexibility with respect to when the LTE control region is used for MPDCCH/PDSCH transmissions. </w:t>
      </w:r>
      <w:r w:rsidR="007E69B8" w:rsidRPr="00827329">
        <w:t xml:space="preserve">In a more general sense, this can be formulated as a case where LTE-MTC resources are reserved for NR use, and not used for LTE-MTC transmissions. These issues </w:t>
      </w:r>
      <w:r w:rsidR="006F431B" w:rsidRPr="00827329">
        <w:t>relate</w:t>
      </w:r>
      <w:r w:rsidR="007E69B8" w:rsidRPr="00827329">
        <w:t>d</w:t>
      </w:r>
      <w:r w:rsidR="006F431B" w:rsidRPr="00827329">
        <w:t xml:space="preserve"> to coexistence between LTE-M</w:t>
      </w:r>
      <w:r w:rsidR="007E69B8" w:rsidRPr="00827329">
        <w:t>TC</w:t>
      </w:r>
      <w:r w:rsidR="006F431B" w:rsidRPr="00827329">
        <w:t xml:space="preserve"> and NR</w:t>
      </w:r>
      <w:r w:rsidR="007E69B8" w:rsidRPr="00827329">
        <w:t xml:space="preserve"> are also</w:t>
      </w:r>
      <w:r w:rsidR="006F431B" w:rsidRPr="00827329">
        <w:t xml:space="preserve"> studied </w:t>
      </w:r>
      <w:r w:rsidR="007E69B8" w:rsidRPr="00827329">
        <w:t>with</w:t>
      </w:r>
      <w:r w:rsidR="006F431B" w:rsidRPr="00827329">
        <w:t xml:space="preserve">in a </w:t>
      </w:r>
      <w:r w:rsidR="007E69B8" w:rsidRPr="00827329">
        <w:t xml:space="preserve">separate </w:t>
      </w:r>
      <w:r w:rsidR="005B674F" w:rsidRPr="00827329">
        <w:t>WI</w:t>
      </w:r>
      <w:r w:rsidR="006F431B" w:rsidRPr="00827329">
        <w:t xml:space="preserve"> objective</w:t>
      </w:r>
      <w:r w:rsidR="007E69B8" w:rsidRPr="00827329">
        <w:t xml:space="preserve">, and we therefore suggest that resource reservation and other mechanisms related to LTE-MTC and NR coexistence primarily are studied within the scope of the coexistence </w:t>
      </w:r>
      <w:r w:rsidR="001D3DAD" w:rsidRPr="00827329">
        <w:t>WI</w:t>
      </w:r>
      <w:r w:rsidR="007E69B8" w:rsidRPr="00827329">
        <w:t xml:space="preserve"> objective. Once such mechanisms have been studied on a more general level, it can be considered if these general mechanisms are suitable also for the purpose of having a flexible, potentially configurable, mapping of MPDCCH/PDSCH to the LTE control region, or if some more </w:t>
      </w:r>
      <w:r w:rsidR="00696D53" w:rsidRPr="00827329">
        <w:t xml:space="preserve">tailored solution would be preferable. </w:t>
      </w:r>
    </w:p>
    <w:p w14:paraId="4A696A6C" w14:textId="2CD44FD2" w:rsidR="00A575B2" w:rsidRPr="00827329" w:rsidRDefault="00017E24" w:rsidP="00A575B2">
      <w:pPr>
        <w:pStyle w:val="Proposal"/>
        <w:rPr>
          <w:rFonts w:eastAsiaTheme="minorEastAsia"/>
          <w:bCs w:val="0"/>
        </w:rPr>
      </w:pPr>
      <w:bookmarkStart w:id="14" w:name="_Toc16871527"/>
      <w:r w:rsidRPr="00827329">
        <w:t>RAN1 considers potential synergies between LTE-M resource reservation for the purpose of NR coexistence (one of the WI objectives) and flexible MPDCCH/PDSCH usage in the LTE control region for the purpose of Stand-alone LTE-M operation (another WI objective).</w:t>
      </w:r>
      <w:bookmarkEnd w:id="14"/>
    </w:p>
    <w:p w14:paraId="1D0A7776" w14:textId="4CB19C73" w:rsidR="00C03381" w:rsidRPr="00827329" w:rsidRDefault="0086359E" w:rsidP="001E2D1F">
      <w:pPr>
        <w:pStyle w:val="BodyText"/>
        <w:rPr>
          <w:bCs/>
          <w:lang w:eastAsia="ja-JP"/>
        </w:rPr>
      </w:pPr>
      <w:r w:rsidRPr="00827329">
        <w:rPr>
          <w:bCs/>
          <w:color w:val="BFBFBF" w:themeColor="background1" w:themeShade="BF"/>
        </w:rPr>
        <w:t xml:space="preserve"> </w:t>
      </w:r>
      <w:r w:rsidR="00C03381" w:rsidRPr="00827329">
        <w:rPr>
          <w:b/>
        </w:rPr>
        <w:br w:type="page"/>
      </w:r>
    </w:p>
    <w:p w14:paraId="7BFBE100" w14:textId="5B0121C4" w:rsidR="00C01F33" w:rsidRPr="00150D8F" w:rsidRDefault="00D45B59" w:rsidP="00CE0424">
      <w:pPr>
        <w:pStyle w:val="Heading1"/>
        <w:rPr>
          <w:lang w:val="en-US"/>
        </w:rPr>
      </w:pPr>
      <w:r>
        <w:rPr>
          <w:lang w:val="en-US"/>
        </w:rPr>
        <w:lastRenderedPageBreak/>
        <w:t>3</w:t>
      </w:r>
      <w:r>
        <w:rPr>
          <w:lang w:val="en-US"/>
        </w:rPr>
        <w:tab/>
      </w:r>
      <w:r w:rsidR="00C01F33" w:rsidRPr="00150D8F">
        <w:rPr>
          <w:lang w:val="en-US"/>
        </w:rPr>
        <w:t>Conclusion</w:t>
      </w:r>
    </w:p>
    <w:p w14:paraId="13AE8169" w14:textId="43F2C843" w:rsidR="00D813F5" w:rsidRPr="00140D0F" w:rsidRDefault="0059404A" w:rsidP="00D813F5">
      <w:pPr>
        <w:pStyle w:val="BodyText"/>
      </w:pPr>
      <w:r w:rsidRPr="00827329">
        <w:t xml:space="preserve">This contribution has </w:t>
      </w:r>
      <w:r w:rsidR="001211AA" w:rsidRPr="00827329">
        <w:t>d</w:t>
      </w:r>
      <w:r w:rsidR="00CC78E3" w:rsidRPr="00827329">
        <w:t>iscussed the use of</w:t>
      </w:r>
      <w:r w:rsidR="00B8107A" w:rsidRPr="00827329">
        <w:t xml:space="preserve"> the LTE control channel region for DL transmission in LTE-MTC</w:t>
      </w:r>
      <w:r w:rsidRPr="00827329">
        <w:t>.</w:t>
      </w:r>
      <w:r w:rsidR="00D813F5" w:rsidRPr="00827329">
        <w:t xml:space="preserve"> </w:t>
      </w:r>
      <w:r w:rsidR="00D813F5" w:rsidRPr="00140D0F">
        <w:t>We made the following observations:</w:t>
      </w:r>
      <w:r w:rsidR="00D813F5" w:rsidRPr="00140D0F">
        <w:rPr>
          <w:b/>
          <w:bCs/>
        </w:rPr>
        <w:t xml:space="preserve"> </w:t>
      </w:r>
    </w:p>
    <w:p w14:paraId="3E49D12F" w14:textId="77777777" w:rsidR="00F800E7" w:rsidRDefault="00D813F5">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16871521" w:history="1">
        <w:r w:rsidR="00F800E7" w:rsidRPr="00A420C3">
          <w:rPr>
            <w:rStyle w:val="Hyperlink"/>
            <w:noProof/>
          </w:rPr>
          <w:t>Observation 1</w:t>
        </w:r>
        <w:r w:rsidR="00F800E7">
          <w:rPr>
            <w:rFonts w:asciiTheme="minorHAnsi" w:eastAsiaTheme="minorEastAsia" w:hAnsiTheme="minorHAnsi"/>
            <w:b w:val="0"/>
            <w:noProof/>
            <w:lang w:eastAsia="en-US"/>
          </w:rPr>
          <w:tab/>
        </w:r>
        <w:r w:rsidR="00F800E7" w:rsidRPr="00A420C3">
          <w:rPr>
            <w:rStyle w:val="Hyperlink"/>
            <w:noProof/>
          </w:rPr>
          <w:t>The PDSCH rate-matching in the LTE control region for TDD special subframes may need to be clarified.</w:t>
        </w:r>
      </w:hyperlink>
    </w:p>
    <w:p w14:paraId="30EAD13D" w14:textId="77777777" w:rsidR="00F800E7" w:rsidRDefault="00F800E7">
      <w:pPr>
        <w:pStyle w:val="TableofFigures"/>
        <w:tabs>
          <w:tab w:val="right" w:leader="dot" w:pos="9629"/>
        </w:tabs>
        <w:rPr>
          <w:rFonts w:asciiTheme="minorHAnsi" w:eastAsiaTheme="minorEastAsia" w:hAnsiTheme="minorHAnsi"/>
          <w:b w:val="0"/>
          <w:noProof/>
          <w:lang w:eastAsia="en-US"/>
        </w:rPr>
      </w:pPr>
      <w:hyperlink w:anchor="_Toc16871522" w:history="1">
        <w:r w:rsidRPr="00A420C3">
          <w:rPr>
            <w:rStyle w:val="Hyperlink"/>
            <w:noProof/>
          </w:rPr>
          <w:t>Observation 2</w:t>
        </w:r>
        <w:r>
          <w:rPr>
            <w:rFonts w:asciiTheme="minorHAnsi" w:eastAsiaTheme="minorEastAsia" w:hAnsiTheme="minorHAnsi"/>
            <w:b w:val="0"/>
            <w:noProof/>
            <w:lang w:eastAsia="en-US"/>
          </w:rPr>
          <w:tab/>
        </w:r>
        <w:r w:rsidRPr="00A420C3">
          <w:rPr>
            <w:rStyle w:val="Hyperlink"/>
            <w:noProof/>
          </w:rPr>
          <w:t>It may be beneficial to introduce some flexibility regarding the time and frequency resources that the UE can expect MPDCCH/PDSCH to be mapped to the LTE control region in order to facilitate coexistence when embedding an LTE-MTC stand-alone carrier in another RAT.</w:t>
        </w:r>
      </w:hyperlink>
    </w:p>
    <w:p w14:paraId="5C51237D" w14:textId="0399CC93" w:rsidR="00A072F8" w:rsidRDefault="00D813F5" w:rsidP="00971A82">
      <w:pPr>
        <w:pStyle w:val="BodyText"/>
        <w:rPr>
          <w:b/>
          <w:bCs/>
        </w:rPr>
      </w:pPr>
      <w:r>
        <w:rPr>
          <w:b/>
          <w:bCs/>
        </w:rPr>
        <w:fldChar w:fldCharType="end"/>
      </w:r>
    </w:p>
    <w:p w14:paraId="07F77746" w14:textId="375F4119" w:rsidR="006E1C82" w:rsidRPr="00827329" w:rsidRDefault="008E065E" w:rsidP="00971A82">
      <w:pPr>
        <w:pStyle w:val="BodyText"/>
      </w:pPr>
      <w:r w:rsidRPr="00827329">
        <w:t>Based on the</w:t>
      </w:r>
      <w:r w:rsidR="00D813F5" w:rsidRPr="00827329">
        <w:t>se</w:t>
      </w:r>
      <w:r w:rsidRPr="00827329">
        <w:t xml:space="preserve"> </w:t>
      </w:r>
      <w:r w:rsidR="00D813F5" w:rsidRPr="00827329">
        <w:t xml:space="preserve">observations and the </w:t>
      </w:r>
      <w:r w:rsidRPr="00827329">
        <w:t xml:space="preserve">discussion </w:t>
      </w:r>
      <w:r w:rsidR="00D813F5" w:rsidRPr="00827329">
        <w:t xml:space="preserve">in the paper </w:t>
      </w:r>
      <w:r w:rsidRPr="00827329">
        <w:t>we propose the following:</w:t>
      </w:r>
    </w:p>
    <w:p w14:paraId="5C8E56FF" w14:textId="77777777" w:rsidR="00F800E7" w:rsidRDefault="006E1C82">
      <w:pPr>
        <w:pStyle w:val="TableofFigures"/>
        <w:tabs>
          <w:tab w:val="right" w:leader="dot" w:pos="9629"/>
        </w:tabs>
        <w:rPr>
          <w:rFonts w:asciiTheme="minorHAnsi" w:eastAsiaTheme="minorEastAsia" w:hAnsiTheme="minorHAnsi"/>
          <w:b w:val="0"/>
          <w:noProof/>
          <w:lang w:eastAsia="en-US"/>
        </w:rPr>
      </w:pPr>
      <w:r w:rsidRPr="00150D8F">
        <w:rPr>
          <w:b w:val="0"/>
          <w:bCs/>
        </w:rPr>
        <w:fldChar w:fldCharType="begin"/>
      </w:r>
      <w:r w:rsidRPr="00150D8F">
        <w:rPr>
          <w:b w:val="0"/>
          <w:bCs/>
        </w:rPr>
        <w:instrText xml:space="preserve"> TOC \n \h \z \t "Proposal" \c </w:instrText>
      </w:r>
      <w:r w:rsidRPr="00150D8F">
        <w:rPr>
          <w:b w:val="0"/>
          <w:bCs/>
        </w:rPr>
        <w:fldChar w:fldCharType="separate"/>
      </w:r>
      <w:hyperlink w:anchor="_Toc16871523" w:history="1">
        <w:r w:rsidR="00F800E7" w:rsidRPr="00F17116">
          <w:rPr>
            <w:rStyle w:val="Hyperlink"/>
            <w:rFonts w:cs="Arial"/>
            <w:noProof/>
          </w:rPr>
          <w:t>Proposal 1</w:t>
        </w:r>
        <w:r w:rsidR="00F800E7">
          <w:rPr>
            <w:rFonts w:asciiTheme="minorHAnsi" w:eastAsiaTheme="minorEastAsia" w:hAnsiTheme="minorHAnsi"/>
            <w:b w:val="0"/>
            <w:noProof/>
            <w:lang w:eastAsia="en-US"/>
          </w:rPr>
          <w:tab/>
        </w:r>
        <w:r w:rsidR="00F800E7" w:rsidRPr="00F17116">
          <w:rPr>
            <w:rStyle w:val="Hyperlink"/>
            <w:rFonts w:cs="Arial"/>
            <w:noProof/>
            <w:lang w:eastAsia="en-GB"/>
          </w:rPr>
          <w:t>Confirm the working assumption that for MPDCCH/PDSCH transmission in LTE control region, the special subframe usage is the same as Rel-13.</w:t>
        </w:r>
      </w:hyperlink>
    </w:p>
    <w:p w14:paraId="5BAC5FB6" w14:textId="77777777" w:rsidR="00F800E7" w:rsidRDefault="00F800E7">
      <w:pPr>
        <w:pStyle w:val="TableofFigures"/>
        <w:tabs>
          <w:tab w:val="right" w:leader="dot" w:pos="9629"/>
        </w:tabs>
        <w:rPr>
          <w:rFonts w:asciiTheme="minorHAnsi" w:eastAsiaTheme="minorEastAsia" w:hAnsiTheme="minorHAnsi"/>
          <w:b w:val="0"/>
          <w:noProof/>
          <w:lang w:eastAsia="en-US"/>
        </w:rPr>
      </w:pPr>
      <w:hyperlink w:anchor="_Toc16871524" w:history="1">
        <w:r w:rsidRPr="00F17116">
          <w:rPr>
            <w:rStyle w:val="Hyperlink"/>
            <w:noProof/>
          </w:rPr>
          <w:t>Proposal 2</w:t>
        </w:r>
        <w:r>
          <w:rPr>
            <w:rFonts w:asciiTheme="minorHAnsi" w:eastAsiaTheme="minorEastAsia" w:hAnsiTheme="minorHAnsi"/>
            <w:b w:val="0"/>
            <w:noProof/>
            <w:lang w:eastAsia="en-US"/>
          </w:rPr>
          <w:tab/>
        </w:r>
        <w:r w:rsidRPr="00F17116">
          <w:rPr>
            <w:rStyle w:val="Hyperlink"/>
            <w:rFonts w:cs="Arial"/>
            <w:noProof/>
            <w:lang w:eastAsia="en-GB"/>
          </w:rPr>
          <w:t>For PDSCH transmission in LTE control region, rate-matching is done using legacy mapping for the OFDM symbols used for legacy PDSCH transmission, then wrap around starting with OFDM symbol 0.</w:t>
        </w:r>
      </w:hyperlink>
    </w:p>
    <w:p w14:paraId="7EE0A93F" w14:textId="77777777" w:rsidR="00F800E7" w:rsidRDefault="00F800E7">
      <w:pPr>
        <w:pStyle w:val="TableofFigures"/>
        <w:tabs>
          <w:tab w:val="right" w:leader="dot" w:pos="9629"/>
        </w:tabs>
        <w:rPr>
          <w:rFonts w:asciiTheme="minorHAnsi" w:eastAsiaTheme="minorEastAsia" w:hAnsiTheme="minorHAnsi"/>
          <w:b w:val="0"/>
          <w:noProof/>
          <w:lang w:eastAsia="en-US"/>
        </w:rPr>
      </w:pPr>
      <w:hyperlink w:anchor="_Toc16871525" w:history="1">
        <w:r w:rsidRPr="00F17116">
          <w:rPr>
            <w:rStyle w:val="Hyperlink"/>
            <w:noProof/>
          </w:rPr>
          <w:t>Proposal 3</w:t>
        </w:r>
        <w:r>
          <w:rPr>
            <w:rFonts w:asciiTheme="minorHAnsi" w:eastAsiaTheme="minorEastAsia" w:hAnsiTheme="minorHAnsi"/>
            <w:b w:val="0"/>
            <w:noProof/>
            <w:lang w:eastAsia="en-US"/>
          </w:rPr>
          <w:tab/>
        </w:r>
        <w:r w:rsidRPr="00F17116">
          <w:rPr>
            <w:rStyle w:val="Hyperlink"/>
            <w:rFonts w:cs="Arial"/>
            <w:noProof/>
            <w:lang w:eastAsia="en-GB"/>
          </w:rPr>
          <w:t xml:space="preserve">For TDD special subframes except configurations 9/10, </w:t>
        </w:r>
        <w:r w:rsidRPr="00F17116">
          <w:rPr>
            <w:rStyle w:val="Hyperlink"/>
            <w:noProof/>
          </w:rPr>
          <w:t>MPDCCH transmission in the LTE control region can be performed similar to the regular TDD subframes.</w:t>
        </w:r>
      </w:hyperlink>
    </w:p>
    <w:p w14:paraId="0BC9D7D1" w14:textId="77777777" w:rsidR="00F800E7" w:rsidRDefault="00F800E7">
      <w:pPr>
        <w:pStyle w:val="TableofFigures"/>
        <w:tabs>
          <w:tab w:val="right" w:leader="dot" w:pos="9629"/>
        </w:tabs>
        <w:rPr>
          <w:rFonts w:asciiTheme="minorHAnsi" w:eastAsiaTheme="minorEastAsia" w:hAnsiTheme="minorHAnsi"/>
          <w:b w:val="0"/>
          <w:noProof/>
          <w:lang w:eastAsia="en-US"/>
        </w:rPr>
      </w:pPr>
      <w:hyperlink w:anchor="_Toc16871526" w:history="1">
        <w:r w:rsidRPr="00F17116">
          <w:rPr>
            <w:rStyle w:val="Hyperlink"/>
            <w:noProof/>
          </w:rPr>
          <w:t>Proposal 4</w:t>
        </w:r>
        <w:r>
          <w:rPr>
            <w:rFonts w:asciiTheme="minorHAnsi" w:eastAsiaTheme="minorEastAsia" w:hAnsiTheme="minorHAnsi"/>
            <w:b w:val="0"/>
            <w:noProof/>
            <w:lang w:eastAsia="en-US"/>
          </w:rPr>
          <w:tab/>
        </w:r>
        <w:r w:rsidRPr="00F17116">
          <w:rPr>
            <w:rStyle w:val="Hyperlink"/>
            <w:rFonts w:cs="Arial"/>
            <w:noProof/>
            <w:lang w:eastAsia="en-GB"/>
          </w:rPr>
          <w:t xml:space="preserve">For TDD special subframe configurations 9/10, </w:t>
        </w:r>
        <w:r w:rsidRPr="00F17116">
          <w:rPr>
            <w:rStyle w:val="Hyperlink"/>
            <w:noProof/>
          </w:rPr>
          <w:t>MPDCCH transmission in the LTE control region can be performed by mapping the last OFDM symbols of DwPTS in the legacy control region.</w:t>
        </w:r>
      </w:hyperlink>
    </w:p>
    <w:p w14:paraId="59691F34" w14:textId="77777777" w:rsidR="00F800E7" w:rsidRDefault="00F800E7">
      <w:pPr>
        <w:pStyle w:val="TableofFigures"/>
        <w:tabs>
          <w:tab w:val="right" w:leader="dot" w:pos="9629"/>
        </w:tabs>
        <w:rPr>
          <w:rFonts w:asciiTheme="minorHAnsi" w:eastAsiaTheme="minorEastAsia" w:hAnsiTheme="minorHAnsi"/>
          <w:b w:val="0"/>
          <w:noProof/>
          <w:lang w:eastAsia="en-US"/>
        </w:rPr>
      </w:pPr>
      <w:hyperlink w:anchor="_Toc16871527" w:history="1">
        <w:r w:rsidRPr="00F17116">
          <w:rPr>
            <w:rStyle w:val="Hyperlink"/>
            <w:noProof/>
          </w:rPr>
          <w:t>Proposal 5</w:t>
        </w:r>
        <w:r>
          <w:rPr>
            <w:rFonts w:asciiTheme="minorHAnsi" w:eastAsiaTheme="minorEastAsia" w:hAnsiTheme="minorHAnsi"/>
            <w:b w:val="0"/>
            <w:noProof/>
            <w:lang w:eastAsia="en-US"/>
          </w:rPr>
          <w:tab/>
        </w:r>
        <w:r w:rsidRPr="00F17116">
          <w:rPr>
            <w:rStyle w:val="Hyperlink"/>
            <w:noProof/>
          </w:rPr>
          <w:t>RAN1 considers potential synergies between LTE-M resource reservation for the purpose of NR coexistence (one of the WI objectives) and flexible MPDCCH/PDSCH usage in the LTE control region for the purpose of Stand-alone LTE-M operation (another WI objective).</w:t>
        </w:r>
      </w:hyperlink>
    </w:p>
    <w:p w14:paraId="1C13E7CA" w14:textId="02AA5BBF" w:rsidR="00D813F5" w:rsidRPr="00150D8F" w:rsidRDefault="006E1C82" w:rsidP="00D813F5">
      <w:pPr>
        <w:pStyle w:val="BodyText"/>
        <w:rPr>
          <w:b/>
          <w:bCs/>
        </w:rPr>
      </w:pPr>
      <w:r w:rsidRPr="00150D8F">
        <w:rPr>
          <w:b/>
          <w:bCs/>
        </w:rPr>
        <w:fldChar w:fldCharType="end"/>
      </w:r>
      <w:r w:rsidRPr="00140D0F">
        <w:rPr>
          <w:b/>
          <w:bCs/>
        </w:rPr>
        <w:t xml:space="preserve"> </w:t>
      </w:r>
    </w:p>
    <w:p w14:paraId="428BBF2F" w14:textId="77777777" w:rsidR="00F507D1" w:rsidRPr="00150D8F" w:rsidRDefault="00F507D1" w:rsidP="00CE0424">
      <w:pPr>
        <w:pStyle w:val="Heading1"/>
        <w:rPr>
          <w:lang w:val="en-US"/>
        </w:rPr>
      </w:pPr>
      <w:bookmarkStart w:id="15" w:name="_In-sequence_SDU_delivery"/>
      <w:bookmarkEnd w:id="15"/>
      <w:r w:rsidRPr="00150D8F">
        <w:rPr>
          <w:lang w:val="en-US"/>
        </w:rPr>
        <w:t>References</w:t>
      </w:r>
    </w:p>
    <w:bookmarkStart w:id="16" w:name="_Ref521234735"/>
    <w:bookmarkStart w:id="17" w:name="_Ref174151459"/>
    <w:bookmarkStart w:id="18" w:name="_Ref189809556"/>
    <w:p w14:paraId="76948478" w14:textId="3061A7DF" w:rsidR="003A7EF3" w:rsidRPr="00827329" w:rsidRDefault="001F3A8E" w:rsidP="00054513">
      <w:pPr>
        <w:pStyle w:val="Reference"/>
      </w:pPr>
      <w:r w:rsidRPr="003D32A4">
        <w:rPr>
          <w:rStyle w:val="Hyperlink"/>
        </w:rPr>
        <w:fldChar w:fldCharType="begin"/>
      </w:r>
      <w:r w:rsidR="00E5199F">
        <w:rPr>
          <w:rStyle w:val="Hyperlink"/>
        </w:rPr>
        <w:instrText>HYPERLINK "http://www.3gpp.org/ftp/TSG_RAN/TSG_RAN/TSGR_84/Docs/RP-191356.zip"</w:instrText>
      </w:r>
      <w:r w:rsidR="00A835EC" w:rsidRPr="003D32A4">
        <w:rPr>
          <w:rStyle w:val="Hyperlink"/>
        </w:rPr>
      </w:r>
      <w:r w:rsidRPr="003D32A4">
        <w:rPr>
          <w:rStyle w:val="Hyperlink"/>
        </w:rPr>
        <w:fldChar w:fldCharType="separate"/>
      </w:r>
      <w:r w:rsidR="00E5199F">
        <w:rPr>
          <w:rStyle w:val="Hyperlink"/>
        </w:rPr>
        <w:t>RP-191356</w:t>
      </w:r>
      <w:r w:rsidRPr="003D32A4">
        <w:rPr>
          <w:rStyle w:val="Hyperlink"/>
        </w:rPr>
        <w:fldChar w:fldCharType="end"/>
      </w:r>
      <w:r w:rsidR="00D03714" w:rsidRPr="00827329">
        <w:t xml:space="preserve">, </w:t>
      </w:r>
      <w:r w:rsidR="004B2A32" w:rsidRPr="00827329">
        <w:t>“</w:t>
      </w:r>
      <w:r w:rsidR="00D03714" w:rsidRPr="00827329">
        <w:t>Revised WID: Additional MTC enhancements for LTE</w:t>
      </w:r>
      <w:r w:rsidR="004B2A32" w:rsidRPr="00827329">
        <w:t>”</w:t>
      </w:r>
      <w:r w:rsidR="00D03714" w:rsidRPr="00827329">
        <w:t>, Ericsson, RAN#8</w:t>
      </w:r>
      <w:bookmarkEnd w:id="16"/>
      <w:bookmarkEnd w:id="17"/>
      <w:bookmarkEnd w:id="18"/>
      <w:r w:rsidR="00E5199F">
        <w:t>4</w:t>
      </w:r>
    </w:p>
    <w:bookmarkStart w:id="19" w:name="_Ref525334860"/>
    <w:p w14:paraId="0BEB3F29" w14:textId="1D8C9FC3" w:rsidR="00185AFF" w:rsidRPr="00827329" w:rsidRDefault="009B4B20" w:rsidP="00185AFF">
      <w:pPr>
        <w:pStyle w:val="Reference"/>
      </w:pPr>
      <w:r>
        <w:fldChar w:fldCharType="begin"/>
      </w:r>
      <w:r w:rsidRPr="00827329">
        <w:instrText xml:space="preserve"> HYPERLINK "http://www.3gpp.org/ftp/tsg_ran/WG1_RL1/TSGR1_94/Docs/R1-1809530.zip" </w:instrText>
      </w:r>
      <w:r>
        <w:fldChar w:fldCharType="separate"/>
      </w:r>
      <w:r w:rsidRPr="00827329">
        <w:rPr>
          <w:rStyle w:val="Hyperlink"/>
        </w:rPr>
        <w:t>R1-1809530</w:t>
      </w:r>
      <w:r>
        <w:fldChar w:fldCharType="end"/>
      </w:r>
      <w:r w:rsidR="00185AFF" w:rsidRPr="00827329">
        <w:t xml:space="preserve">, </w:t>
      </w:r>
      <w:r w:rsidR="004B2A32" w:rsidRPr="00827329">
        <w:t>“</w:t>
      </w:r>
      <w:r w:rsidR="00185AFF" w:rsidRPr="00827329">
        <w:t>Use of LTE Control Channel Region for DL Transmission Summary</w:t>
      </w:r>
      <w:r w:rsidR="004B2A32" w:rsidRPr="00827329">
        <w:t>”</w:t>
      </w:r>
      <w:r w:rsidR="00185AFF" w:rsidRPr="00827329">
        <w:t>, Nokia, Nokia Shanghai Bell, RAN1#94</w:t>
      </w:r>
      <w:bookmarkEnd w:id="19"/>
    </w:p>
    <w:bookmarkStart w:id="20" w:name="_Ref528933893"/>
    <w:bookmarkStart w:id="21" w:name="_Ref525337827"/>
    <w:p w14:paraId="3367063D" w14:textId="46AD8993" w:rsidR="009B4B20" w:rsidRPr="00827329" w:rsidRDefault="009B4B20" w:rsidP="00185AFF">
      <w:pPr>
        <w:pStyle w:val="Reference"/>
      </w:pPr>
      <w:r w:rsidRPr="009B2999">
        <w:fldChar w:fldCharType="begin"/>
      </w:r>
      <w:r w:rsidRPr="00827329">
        <w:instrText xml:space="preserve"> HYPERLINK "http://www.3gpp.org/ftp/tsg_ran/WG1_RL1/TSGR1_94b/Docs/R1-1811695.zip" </w:instrText>
      </w:r>
      <w:r w:rsidRPr="009B2999">
        <w:fldChar w:fldCharType="separate"/>
      </w:r>
      <w:r w:rsidRPr="00827329">
        <w:rPr>
          <w:rStyle w:val="Hyperlink"/>
        </w:rPr>
        <w:t>R1-1811695</w:t>
      </w:r>
      <w:r w:rsidRPr="009B2999">
        <w:fldChar w:fldCharType="end"/>
      </w:r>
      <w:r w:rsidRPr="00827329">
        <w:t>, “Summary of Use of LTE Control Channel Region for DL Transmission”, Nokia, Nokia Shanghai Bell, RAN1#94bis</w:t>
      </w:r>
      <w:bookmarkEnd w:id="20"/>
      <w:r w:rsidRPr="00827329">
        <w:t xml:space="preserve"> </w:t>
      </w:r>
    </w:p>
    <w:bookmarkStart w:id="22" w:name="_Ref354955"/>
    <w:p w14:paraId="5CD8024E" w14:textId="0A8399E2" w:rsidR="00EE2C8E" w:rsidRPr="00827329" w:rsidRDefault="003F7E55" w:rsidP="00EE2C8E">
      <w:pPr>
        <w:pStyle w:val="Reference"/>
      </w:pPr>
      <w:r w:rsidRPr="0039640D">
        <w:fldChar w:fldCharType="begin"/>
      </w:r>
      <w:r w:rsidRPr="00827329">
        <w:instrText>HYPERLINK "http://www.3gpp.org/ftp/tsg_ran/WG1_RL1/TSGR1_95/Docs/R1-1813724.zip"</w:instrText>
      </w:r>
      <w:r w:rsidRPr="0039640D">
        <w:fldChar w:fldCharType="separate"/>
      </w:r>
      <w:r w:rsidRPr="00827329">
        <w:rPr>
          <w:rStyle w:val="Hyperlink"/>
        </w:rPr>
        <w:t>R1-1813724</w:t>
      </w:r>
      <w:r w:rsidRPr="0039640D">
        <w:fldChar w:fldCharType="end"/>
      </w:r>
      <w:r w:rsidRPr="00827329">
        <w:t>, “Summary of Use of LTE Control Channel Region for DL Transmission”, Nokia, Nokia Shanghai Bell, RAN1#9</w:t>
      </w:r>
      <w:r w:rsidR="00E43A25" w:rsidRPr="00827329">
        <w:t>5</w:t>
      </w:r>
      <w:bookmarkEnd w:id="21"/>
      <w:bookmarkEnd w:id="22"/>
    </w:p>
    <w:p w14:paraId="271DCFA8" w14:textId="75B31F88" w:rsidR="009177AF" w:rsidRPr="00827329" w:rsidRDefault="00D632B5" w:rsidP="00EE2C8E">
      <w:pPr>
        <w:pStyle w:val="Reference"/>
      </w:pPr>
      <w:hyperlink r:id="rId10" w:history="1">
        <w:r w:rsidR="00EE2C8E" w:rsidRPr="00827329">
          <w:rPr>
            <w:rStyle w:val="Hyperlink"/>
          </w:rPr>
          <w:t>R1-1903276</w:t>
        </w:r>
      </w:hyperlink>
      <w:r w:rsidR="00EE2C8E" w:rsidRPr="00827329">
        <w:rPr>
          <w:lang w:eastAsia="x-none"/>
        </w:rPr>
        <w:t>, “Summary of Use of LTE Control Channel Region for DL Transmission”, Nokia, Nokia Shanghai Bell, RAN1#96</w:t>
      </w:r>
    </w:p>
    <w:bookmarkStart w:id="23" w:name="_Ref4707673"/>
    <w:bookmarkStart w:id="24" w:name="_Ref7527272"/>
    <w:p w14:paraId="377E2E11" w14:textId="51F70F22" w:rsidR="00836C15" w:rsidRPr="00827329" w:rsidRDefault="007909E8" w:rsidP="00185AFF">
      <w:pPr>
        <w:pStyle w:val="Reference"/>
      </w:pPr>
      <w:r w:rsidRPr="007909E8">
        <w:rPr>
          <w:rStyle w:val="Hyperlink"/>
        </w:rPr>
        <w:fldChar w:fldCharType="begin"/>
      </w:r>
      <w:r w:rsidR="00EE2C8E" w:rsidRPr="00827329">
        <w:rPr>
          <w:rStyle w:val="Hyperlink"/>
        </w:rPr>
        <w:instrText>HYPERLINK "http://ftp.3gpp.org/tsg_ran/WG1_RL1/TSGR1_96b/Docs/R1-1905533.zip"</w:instrText>
      </w:r>
      <w:r w:rsidR="00A835EC" w:rsidRPr="007909E8">
        <w:rPr>
          <w:rStyle w:val="Hyperlink"/>
        </w:rPr>
      </w:r>
      <w:r w:rsidRPr="007909E8">
        <w:rPr>
          <w:rStyle w:val="Hyperlink"/>
        </w:rPr>
        <w:fldChar w:fldCharType="separate"/>
      </w:r>
      <w:r w:rsidR="00EE2C8E" w:rsidRPr="00827329">
        <w:rPr>
          <w:rStyle w:val="Hyperlink"/>
        </w:rPr>
        <w:t>R1-1905533</w:t>
      </w:r>
      <w:r w:rsidRPr="007909E8">
        <w:rPr>
          <w:rStyle w:val="Hyperlink"/>
        </w:rPr>
        <w:fldChar w:fldCharType="end"/>
      </w:r>
      <w:r w:rsidRPr="00827329">
        <w:rPr>
          <w:lang w:eastAsia="x-none"/>
        </w:rPr>
        <w:t>, “Summary of Use of LTE Control Channel Region for DL Transmission”, Nokia, Nokia Shanghai Bell, RAN1#96</w:t>
      </w:r>
      <w:bookmarkEnd w:id="23"/>
      <w:r w:rsidR="00EE2C8E" w:rsidRPr="00827329">
        <w:rPr>
          <w:lang w:eastAsia="x-none"/>
        </w:rPr>
        <w:t>bis</w:t>
      </w:r>
      <w:bookmarkEnd w:id="24"/>
    </w:p>
    <w:bookmarkStart w:id="25" w:name="_Ref11743103"/>
    <w:bookmarkStart w:id="26" w:name="_Ref7527282"/>
    <w:p w14:paraId="07C61F3A" w14:textId="34318884" w:rsidR="00B307CE" w:rsidRPr="00827329" w:rsidRDefault="00B307CE" w:rsidP="00B307CE">
      <w:pPr>
        <w:pStyle w:val="Reference"/>
      </w:pPr>
      <w:r w:rsidRPr="007909E8">
        <w:rPr>
          <w:rStyle w:val="Hyperlink"/>
        </w:rPr>
        <w:fldChar w:fldCharType="begin"/>
      </w:r>
      <w:r w:rsidR="00F8165F" w:rsidRPr="00827329">
        <w:rPr>
          <w:rStyle w:val="Hyperlink"/>
        </w:rPr>
        <w:instrText>HYPERLINK "http://ftp.3gpp.org/tsg_ran/WG1_RL1/TSGR1_97/Docs/R1-1907611.zip"</w:instrText>
      </w:r>
      <w:r w:rsidR="00A835EC" w:rsidRPr="007909E8">
        <w:rPr>
          <w:rStyle w:val="Hyperlink"/>
        </w:rPr>
      </w:r>
      <w:r w:rsidRPr="007909E8">
        <w:rPr>
          <w:rStyle w:val="Hyperlink"/>
        </w:rPr>
        <w:fldChar w:fldCharType="separate"/>
      </w:r>
      <w:r w:rsidR="00F8165F" w:rsidRPr="00827329">
        <w:rPr>
          <w:rStyle w:val="Hyperlink"/>
        </w:rPr>
        <w:t>R1-1907611</w:t>
      </w:r>
      <w:r w:rsidRPr="007909E8">
        <w:rPr>
          <w:rStyle w:val="Hyperlink"/>
        </w:rPr>
        <w:fldChar w:fldCharType="end"/>
      </w:r>
      <w:r w:rsidRPr="00827329">
        <w:rPr>
          <w:lang w:eastAsia="x-none"/>
        </w:rPr>
        <w:t>, “Summary of Use of LTE Control Channel Region for DL Transmission”, Nokia, Nokia Shanghai Bell, RAN1#97</w:t>
      </w:r>
      <w:bookmarkEnd w:id="25"/>
    </w:p>
    <w:bookmarkStart w:id="27" w:name="_Ref11743119"/>
    <w:p w14:paraId="2EE81D19" w14:textId="7BB1ADD0" w:rsidR="00EE2C8E" w:rsidRPr="00827329" w:rsidRDefault="00B307CE" w:rsidP="00185AFF">
      <w:pPr>
        <w:pStyle w:val="Reference"/>
      </w:pPr>
      <w:r>
        <w:lastRenderedPageBreak/>
        <w:fldChar w:fldCharType="begin"/>
      </w:r>
      <w:r w:rsidRPr="00827329">
        <w:instrText xml:space="preserve"> HYPERLINK "https://www.3gpp.org/ftp/tsg_ran/WG1_RL1/TSGR1_97/Docs/R1-1907630.zip" </w:instrText>
      </w:r>
      <w:r>
        <w:fldChar w:fldCharType="separate"/>
      </w:r>
      <w:r w:rsidR="00EE2C8E" w:rsidRPr="00827329">
        <w:rPr>
          <w:rStyle w:val="Hyperlink"/>
        </w:rPr>
        <w:t>R1-190</w:t>
      </w:r>
      <w:r w:rsidRPr="00827329">
        <w:rPr>
          <w:rStyle w:val="Hyperlink"/>
        </w:rPr>
        <w:t>7630</w:t>
      </w:r>
      <w:r>
        <w:fldChar w:fldCharType="end"/>
      </w:r>
      <w:r w:rsidR="00EE2C8E" w:rsidRPr="00827329">
        <w:t>, “RAN1 agreements for Rel-16 Additional MTC Enhancements for LTE”, WI rapporteur (Ericsson), RAN1#</w:t>
      </w:r>
      <w:r w:rsidRPr="00827329">
        <w:t>97</w:t>
      </w:r>
      <w:bookmarkEnd w:id="26"/>
      <w:bookmarkEnd w:id="27"/>
    </w:p>
    <w:bookmarkStart w:id="28" w:name="_Ref7528061"/>
    <w:p w14:paraId="417771A2" w14:textId="5832441F" w:rsidR="00553512" w:rsidRDefault="00553512" w:rsidP="00553512">
      <w:pPr>
        <w:pStyle w:val="Reference"/>
      </w:pPr>
      <w:r w:rsidRPr="007909E8">
        <w:rPr>
          <w:rStyle w:val="Hyperlink"/>
        </w:rPr>
        <w:fldChar w:fldCharType="begin"/>
      </w:r>
      <w:r w:rsidRPr="00827329">
        <w:rPr>
          <w:rStyle w:val="Hyperlink"/>
        </w:rPr>
        <w:instrText>HYPERLINK "http://ftp.3gpp.org/tsg_ran/WG1_RL1/TSGR1_96b/Docs/R1-1903889.zip"</w:instrText>
      </w:r>
      <w:r w:rsidR="00A835EC" w:rsidRPr="007909E8">
        <w:rPr>
          <w:rStyle w:val="Hyperlink"/>
        </w:rPr>
      </w:r>
      <w:r w:rsidRPr="007909E8">
        <w:rPr>
          <w:rStyle w:val="Hyperlink"/>
        </w:rPr>
        <w:fldChar w:fldCharType="separate"/>
      </w:r>
      <w:r w:rsidRPr="00827329">
        <w:rPr>
          <w:rStyle w:val="Hyperlink"/>
        </w:rPr>
        <w:t>R1-1903889</w:t>
      </w:r>
      <w:r w:rsidRPr="007909E8">
        <w:rPr>
          <w:rStyle w:val="Hyperlink"/>
        </w:rPr>
        <w:fldChar w:fldCharType="end"/>
      </w:r>
      <w:r w:rsidRPr="00827329">
        <w:rPr>
          <w:lang w:eastAsia="x-none"/>
        </w:rPr>
        <w:t>, “Use of LTE control channel region for DL transmission in LTE-MTC”, Ericsson, RAN1#96bis</w:t>
      </w:r>
      <w:bookmarkEnd w:id="28"/>
    </w:p>
    <w:bookmarkStart w:id="29" w:name="_Ref16162167"/>
    <w:p w14:paraId="71417930" w14:textId="55C78A10" w:rsidR="007550A6" w:rsidRPr="00827329" w:rsidRDefault="007550A6" w:rsidP="007550A6">
      <w:pPr>
        <w:pStyle w:val="Reference"/>
      </w:pPr>
      <w:r w:rsidRPr="007909E8">
        <w:rPr>
          <w:rStyle w:val="Hyperlink"/>
        </w:rPr>
        <w:fldChar w:fldCharType="begin"/>
      </w:r>
      <w:r w:rsidR="00B82D57">
        <w:rPr>
          <w:rStyle w:val="Hyperlink"/>
        </w:rPr>
        <w:instrText>HYPERLINK "http://www.3gpp.org/ftp/TSG_RAN/WG1_RL1/TSGR1_97/Docs/R1-1906502.zip"</w:instrText>
      </w:r>
      <w:r w:rsidR="00A835EC" w:rsidRPr="007909E8">
        <w:rPr>
          <w:rStyle w:val="Hyperlink"/>
        </w:rPr>
      </w:r>
      <w:r w:rsidRPr="007909E8">
        <w:rPr>
          <w:rStyle w:val="Hyperlink"/>
        </w:rPr>
        <w:fldChar w:fldCharType="separate"/>
      </w:r>
      <w:r w:rsidR="00B82D57">
        <w:rPr>
          <w:rStyle w:val="Hyperlink"/>
        </w:rPr>
        <w:t>R1-1906502</w:t>
      </w:r>
      <w:r w:rsidRPr="007909E8">
        <w:rPr>
          <w:rStyle w:val="Hyperlink"/>
        </w:rPr>
        <w:fldChar w:fldCharType="end"/>
      </w:r>
      <w:r w:rsidRPr="00827329">
        <w:rPr>
          <w:lang w:eastAsia="x-none"/>
        </w:rPr>
        <w:t xml:space="preserve">, “Use of LTE control channel region for DL transmission”, </w:t>
      </w:r>
      <w:r w:rsidR="002820D0">
        <w:rPr>
          <w:lang w:eastAsia="x-none"/>
        </w:rPr>
        <w:t>ZTE</w:t>
      </w:r>
      <w:r w:rsidRPr="00827329">
        <w:rPr>
          <w:lang w:eastAsia="x-none"/>
        </w:rPr>
        <w:t>, RAN1#9</w:t>
      </w:r>
      <w:r w:rsidR="00E71026">
        <w:rPr>
          <w:lang w:eastAsia="x-none"/>
        </w:rPr>
        <w:t>7</w:t>
      </w:r>
      <w:bookmarkEnd w:id="29"/>
    </w:p>
    <w:p w14:paraId="4A63C9CC" w14:textId="77777777" w:rsidR="007550A6" w:rsidRPr="00827329" w:rsidRDefault="007550A6" w:rsidP="007550A6">
      <w:pPr>
        <w:pStyle w:val="Reference"/>
        <w:numPr>
          <w:ilvl w:val="0"/>
          <w:numId w:val="0"/>
        </w:numPr>
      </w:pPr>
    </w:p>
    <w:p w14:paraId="544CA38D" w14:textId="77777777" w:rsidR="00553512" w:rsidRPr="00827329" w:rsidRDefault="00553512" w:rsidP="00F7423E">
      <w:pPr>
        <w:pStyle w:val="Reference"/>
        <w:numPr>
          <w:ilvl w:val="0"/>
          <w:numId w:val="0"/>
        </w:numPr>
      </w:pPr>
    </w:p>
    <w:sectPr w:rsidR="00553512" w:rsidRPr="0082732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325E6" w14:textId="77777777" w:rsidR="000C2A16" w:rsidRDefault="000C2A16">
      <w:r>
        <w:separator/>
      </w:r>
    </w:p>
  </w:endnote>
  <w:endnote w:type="continuationSeparator" w:id="0">
    <w:p w14:paraId="2225174A" w14:textId="77777777" w:rsidR="000C2A16" w:rsidRDefault="000C2A16">
      <w:r>
        <w:continuationSeparator/>
      </w:r>
    </w:p>
  </w:endnote>
  <w:endnote w:type="continuationNotice" w:id="1">
    <w:p w14:paraId="57225195" w14:textId="77777777" w:rsidR="000C2A16" w:rsidRDefault="000C2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D55A62" w:rsidRDefault="00D55A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7784B" w14:textId="77777777" w:rsidR="000C2A16" w:rsidRDefault="000C2A16">
      <w:r>
        <w:separator/>
      </w:r>
    </w:p>
  </w:footnote>
  <w:footnote w:type="continuationSeparator" w:id="0">
    <w:p w14:paraId="3FB21428" w14:textId="77777777" w:rsidR="000C2A16" w:rsidRDefault="000C2A16">
      <w:r>
        <w:continuationSeparator/>
      </w:r>
    </w:p>
  </w:footnote>
  <w:footnote w:type="continuationNotice" w:id="1">
    <w:p w14:paraId="23F5618F" w14:textId="77777777" w:rsidR="000C2A16" w:rsidRDefault="000C2A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D55A62" w:rsidRDefault="00D55A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146007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AD6686"/>
    <w:multiLevelType w:val="hybridMultilevel"/>
    <w:tmpl w:val="C81A489A"/>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43CD7"/>
    <w:multiLevelType w:val="hybridMultilevel"/>
    <w:tmpl w:val="8D649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6123"/>
        </w:tabs>
        <w:ind w:left="6123" w:hanging="1304"/>
      </w:pPr>
      <w:rPr>
        <w:rFonts w:hint="default"/>
      </w:rPr>
    </w:lvl>
    <w:lvl w:ilvl="1" w:tplc="04090019" w:tentative="1">
      <w:start w:val="1"/>
      <w:numFmt w:val="lowerLetter"/>
      <w:lvlText w:val="%2."/>
      <w:lvlJc w:val="left"/>
      <w:pPr>
        <w:tabs>
          <w:tab w:val="num" w:pos="6259"/>
        </w:tabs>
        <w:ind w:left="6259" w:hanging="360"/>
      </w:pPr>
    </w:lvl>
    <w:lvl w:ilvl="2" w:tplc="0409001B" w:tentative="1">
      <w:start w:val="1"/>
      <w:numFmt w:val="lowerRoman"/>
      <w:lvlText w:val="%3."/>
      <w:lvlJc w:val="right"/>
      <w:pPr>
        <w:tabs>
          <w:tab w:val="num" w:pos="6979"/>
        </w:tabs>
        <w:ind w:left="6979" w:hanging="180"/>
      </w:pPr>
    </w:lvl>
    <w:lvl w:ilvl="3" w:tplc="0409000F" w:tentative="1">
      <w:start w:val="1"/>
      <w:numFmt w:val="decimal"/>
      <w:lvlText w:val="%4."/>
      <w:lvlJc w:val="left"/>
      <w:pPr>
        <w:tabs>
          <w:tab w:val="num" w:pos="7699"/>
        </w:tabs>
        <w:ind w:left="7699" w:hanging="360"/>
      </w:pPr>
    </w:lvl>
    <w:lvl w:ilvl="4" w:tplc="04090019" w:tentative="1">
      <w:start w:val="1"/>
      <w:numFmt w:val="lowerLetter"/>
      <w:lvlText w:val="%5."/>
      <w:lvlJc w:val="left"/>
      <w:pPr>
        <w:tabs>
          <w:tab w:val="num" w:pos="8419"/>
        </w:tabs>
        <w:ind w:left="8419" w:hanging="360"/>
      </w:pPr>
    </w:lvl>
    <w:lvl w:ilvl="5" w:tplc="0409001B" w:tentative="1">
      <w:start w:val="1"/>
      <w:numFmt w:val="lowerRoman"/>
      <w:lvlText w:val="%6."/>
      <w:lvlJc w:val="right"/>
      <w:pPr>
        <w:tabs>
          <w:tab w:val="num" w:pos="9139"/>
        </w:tabs>
        <w:ind w:left="9139" w:hanging="180"/>
      </w:pPr>
    </w:lvl>
    <w:lvl w:ilvl="6" w:tplc="0409000F" w:tentative="1">
      <w:start w:val="1"/>
      <w:numFmt w:val="decimal"/>
      <w:lvlText w:val="%7."/>
      <w:lvlJc w:val="left"/>
      <w:pPr>
        <w:tabs>
          <w:tab w:val="num" w:pos="9859"/>
        </w:tabs>
        <w:ind w:left="9859" w:hanging="360"/>
      </w:pPr>
    </w:lvl>
    <w:lvl w:ilvl="7" w:tplc="04090019" w:tentative="1">
      <w:start w:val="1"/>
      <w:numFmt w:val="lowerLetter"/>
      <w:lvlText w:val="%8."/>
      <w:lvlJc w:val="left"/>
      <w:pPr>
        <w:tabs>
          <w:tab w:val="num" w:pos="10579"/>
        </w:tabs>
        <w:ind w:left="10579" w:hanging="360"/>
      </w:pPr>
    </w:lvl>
    <w:lvl w:ilvl="8" w:tplc="0409001B" w:tentative="1">
      <w:start w:val="1"/>
      <w:numFmt w:val="lowerRoman"/>
      <w:lvlText w:val="%9."/>
      <w:lvlJc w:val="right"/>
      <w:pPr>
        <w:tabs>
          <w:tab w:val="num" w:pos="11299"/>
        </w:tabs>
        <w:ind w:left="11299" w:hanging="180"/>
      </w:pPr>
    </w:lvl>
  </w:abstractNum>
  <w:abstractNum w:abstractNumId="18" w15:restartNumberingAfterBreak="0">
    <w:nsid w:val="3B46307B"/>
    <w:multiLevelType w:val="hybridMultilevel"/>
    <w:tmpl w:val="197C06DC"/>
    <w:lvl w:ilvl="0" w:tplc="EED4F66C">
      <w:numFmt w:val="bullet"/>
      <w:lvlText w:val="-"/>
      <w:lvlJc w:val="left"/>
      <w:pPr>
        <w:tabs>
          <w:tab w:val="num" w:pos="720"/>
        </w:tabs>
        <w:ind w:left="720" w:hanging="360"/>
      </w:pPr>
      <w:rPr>
        <w:rFonts w:ascii="Times" w:eastAsia="Batang" w:hAnsi="Times" w:cs="Times" w:hint="default"/>
      </w:rPr>
    </w:lvl>
    <w:lvl w:ilvl="1" w:tplc="159A33A6" w:tentative="1">
      <w:start w:val="1"/>
      <w:numFmt w:val="bullet"/>
      <w:lvlText w:val="—"/>
      <w:lvlJc w:val="left"/>
      <w:pPr>
        <w:tabs>
          <w:tab w:val="num" w:pos="1440"/>
        </w:tabs>
        <w:ind w:left="1440" w:hanging="360"/>
      </w:pPr>
      <w:rPr>
        <w:rFonts w:ascii="Ericsson Hilda Light" w:hAnsi="Ericsson Hilda Light" w:hint="default"/>
      </w:rPr>
    </w:lvl>
    <w:lvl w:ilvl="2" w:tplc="F7648044" w:tentative="1">
      <w:start w:val="1"/>
      <w:numFmt w:val="bullet"/>
      <w:lvlText w:val="—"/>
      <w:lvlJc w:val="left"/>
      <w:pPr>
        <w:tabs>
          <w:tab w:val="num" w:pos="2160"/>
        </w:tabs>
        <w:ind w:left="2160" w:hanging="360"/>
      </w:pPr>
      <w:rPr>
        <w:rFonts w:ascii="Ericsson Hilda Light" w:hAnsi="Ericsson Hilda Light" w:hint="default"/>
      </w:rPr>
    </w:lvl>
    <w:lvl w:ilvl="3" w:tplc="2D6E402E" w:tentative="1">
      <w:start w:val="1"/>
      <w:numFmt w:val="bullet"/>
      <w:lvlText w:val="—"/>
      <w:lvlJc w:val="left"/>
      <w:pPr>
        <w:tabs>
          <w:tab w:val="num" w:pos="2880"/>
        </w:tabs>
        <w:ind w:left="2880" w:hanging="360"/>
      </w:pPr>
      <w:rPr>
        <w:rFonts w:ascii="Ericsson Hilda Light" w:hAnsi="Ericsson Hilda Light" w:hint="default"/>
      </w:rPr>
    </w:lvl>
    <w:lvl w:ilvl="4" w:tplc="8E3AE00E" w:tentative="1">
      <w:start w:val="1"/>
      <w:numFmt w:val="bullet"/>
      <w:lvlText w:val="—"/>
      <w:lvlJc w:val="left"/>
      <w:pPr>
        <w:tabs>
          <w:tab w:val="num" w:pos="3600"/>
        </w:tabs>
        <w:ind w:left="3600" w:hanging="360"/>
      </w:pPr>
      <w:rPr>
        <w:rFonts w:ascii="Ericsson Hilda Light" w:hAnsi="Ericsson Hilda Light" w:hint="default"/>
      </w:rPr>
    </w:lvl>
    <w:lvl w:ilvl="5" w:tplc="2AF2E4C2" w:tentative="1">
      <w:start w:val="1"/>
      <w:numFmt w:val="bullet"/>
      <w:lvlText w:val="—"/>
      <w:lvlJc w:val="left"/>
      <w:pPr>
        <w:tabs>
          <w:tab w:val="num" w:pos="4320"/>
        </w:tabs>
        <w:ind w:left="4320" w:hanging="360"/>
      </w:pPr>
      <w:rPr>
        <w:rFonts w:ascii="Ericsson Hilda Light" w:hAnsi="Ericsson Hilda Light" w:hint="default"/>
      </w:rPr>
    </w:lvl>
    <w:lvl w:ilvl="6" w:tplc="65D2B794" w:tentative="1">
      <w:start w:val="1"/>
      <w:numFmt w:val="bullet"/>
      <w:lvlText w:val="—"/>
      <w:lvlJc w:val="left"/>
      <w:pPr>
        <w:tabs>
          <w:tab w:val="num" w:pos="5040"/>
        </w:tabs>
        <w:ind w:left="5040" w:hanging="360"/>
      </w:pPr>
      <w:rPr>
        <w:rFonts w:ascii="Ericsson Hilda Light" w:hAnsi="Ericsson Hilda Light" w:hint="default"/>
      </w:rPr>
    </w:lvl>
    <w:lvl w:ilvl="7" w:tplc="427012B4" w:tentative="1">
      <w:start w:val="1"/>
      <w:numFmt w:val="bullet"/>
      <w:lvlText w:val="—"/>
      <w:lvlJc w:val="left"/>
      <w:pPr>
        <w:tabs>
          <w:tab w:val="num" w:pos="5760"/>
        </w:tabs>
        <w:ind w:left="5760" w:hanging="360"/>
      </w:pPr>
      <w:rPr>
        <w:rFonts w:ascii="Ericsson Hilda Light" w:hAnsi="Ericsson Hilda Light" w:hint="default"/>
      </w:rPr>
    </w:lvl>
    <w:lvl w:ilvl="8" w:tplc="FA460E02"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4C216C"/>
    <w:multiLevelType w:val="hybridMultilevel"/>
    <w:tmpl w:val="153025B2"/>
    <w:lvl w:ilvl="0" w:tplc="63541B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BF102E"/>
    <w:multiLevelType w:val="hybridMultilevel"/>
    <w:tmpl w:val="1AFECB46"/>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262C2A"/>
    <w:multiLevelType w:val="hybridMultilevel"/>
    <w:tmpl w:val="2A8C9C88"/>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9"/>
  </w:num>
  <w:num w:numId="5">
    <w:abstractNumId w:val="14"/>
  </w:num>
  <w:num w:numId="6">
    <w:abstractNumId w:val="21"/>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5"/>
  </w:num>
  <w:num w:numId="15">
    <w:abstractNumId w:val="20"/>
  </w:num>
  <w:num w:numId="16">
    <w:abstractNumId w:val="29"/>
  </w:num>
  <w:num w:numId="17">
    <w:abstractNumId w:val="9"/>
  </w:num>
  <w:num w:numId="18">
    <w:abstractNumId w:val="11"/>
  </w:num>
  <w:num w:numId="19">
    <w:abstractNumId w:val="7"/>
  </w:num>
  <w:num w:numId="20">
    <w:abstractNumId w:val="32"/>
  </w:num>
  <w:num w:numId="21">
    <w:abstractNumId w:val="16"/>
  </w:num>
  <w:num w:numId="22">
    <w:abstractNumId w:val="31"/>
  </w:num>
  <w:num w:numId="23">
    <w:abstractNumId w:val="6"/>
  </w:num>
  <w:num w:numId="24">
    <w:abstractNumId w:val="33"/>
  </w:num>
  <w:num w:numId="25">
    <w:abstractNumId w:val="30"/>
  </w:num>
  <w:num w:numId="26">
    <w:abstractNumId w:val="8"/>
  </w:num>
  <w:num w:numId="27">
    <w:abstractNumId w:val="3"/>
  </w:num>
  <w:num w:numId="28">
    <w:abstractNumId w:val="12"/>
  </w:num>
  <w:num w:numId="29">
    <w:abstractNumId w:val="23"/>
  </w:num>
  <w:num w:numId="30">
    <w:abstractNumId w:val="23"/>
  </w:num>
  <w:num w:numId="31">
    <w:abstractNumId w:val="24"/>
  </w:num>
  <w:num w:numId="32">
    <w:abstractNumId w:val="26"/>
  </w:num>
  <w:num w:numId="33">
    <w:abstractNumId w:val="18"/>
  </w:num>
  <w:num w:numId="34">
    <w:abstractNumId w:val="28"/>
  </w:num>
  <w:num w:numId="35">
    <w:abstractNumId w:val="5"/>
  </w:num>
  <w:num w:numId="36">
    <w:abstractNumId w:val="34"/>
  </w:num>
  <w:num w:numId="37">
    <w:abstractNumId w:val="34"/>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6E1"/>
    <w:rsid w:val="00002A37"/>
    <w:rsid w:val="00003B62"/>
    <w:rsid w:val="0000564C"/>
    <w:rsid w:val="00006446"/>
    <w:rsid w:val="00006896"/>
    <w:rsid w:val="000078B7"/>
    <w:rsid w:val="00007CDC"/>
    <w:rsid w:val="00011498"/>
    <w:rsid w:val="00011781"/>
    <w:rsid w:val="00011B28"/>
    <w:rsid w:val="00011B75"/>
    <w:rsid w:val="00013C9B"/>
    <w:rsid w:val="00015D15"/>
    <w:rsid w:val="0001735D"/>
    <w:rsid w:val="00017E24"/>
    <w:rsid w:val="00024444"/>
    <w:rsid w:val="0002564D"/>
    <w:rsid w:val="00025ECA"/>
    <w:rsid w:val="0002708A"/>
    <w:rsid w:val="00027836"/>
    <w:rsid w:val="000316A7"/>
    <w:rsid w:val="000325B8"/>
    <w:rsid w:val="000327AC"/>
    <w:rsid w:val="000341D5"/>
    <w:rsid w:val="00034C15"/>
    <w:rsid w:val="0003517D"/>
    <w:rsid w:val="00036BA1"/>
    <w:rsid w:val="000371AB"/>
    <w:rsid w:val="00040175"/>
    <w:rsid w:val="000422E2"/>
    <w:rsid w:val="00042F22"/>
    <w:rsid w:val="00043810"/>
    <w:rsid w:val="000444EF"/>
    <w:rsid w:val="00046276"/>
    <w:rsid w:val="00046B09"/>
    <w:rsid w:val="0005125E"/>
    <w:rsid w:val="00051B20"/>
    <w:rsid w:val="0005252A"/>
    <w:rsid w:val="00052A07"/>
    <w:rsid w:val="00052CEC"/>
    <w:rsid w:val="000534E3"/>
    <w:rsid w:val="00054513"/>
    <w:rsid w:val="0005606A"/>
    <w:rsid w:val="00057117"/>
    <w:rsid w:val="000616E7"/>
    <w:rsid w:val="0006370C"/>
    <w:rsid w:val="00064780"/>
    <w:rsid w:val="0006487E"/>
    <w:rsid w:val="00065E1A"/>
    <w:rsid w:val="000747E2"/>
    <w:rsid w:val="00077AE1"/>
    <w:rsid w:val="00077E5F"/>
    <w:rsid w:val="0008036A"/>
    <w:rsid w:val="00081AE6"/>
    <w:rsid w:val="000839ED"/>
    <w:rsid w:val="000855EB"/>
    <w:rsid w:val="00085B52"/>
    <w:rsid w:val="000866F2"/>
    <w:rsid w:val="0009009F"/>
    <w:rsid w:val="00091557"/>
    <w:rsid w:val="000924C1"/>
    <w:rsid w:val="000924F0"/>
    <w:rsid w:val="00093474"/>
    <w:rsid w:val="000935D2"/>
    <w:rsid w:val="000937A4"/>
    <w:rsid w:val="0009510F"/>
    <w:rsid w:val="00095702"/>
    <w:rsid w:val="0009687E"/>
    <w:rsid w:val="000A1B7B"/>
    <w:rsid w:val="000A1DEA"/>
    <w:rsid w:val="000A22F4"/>
    <w:rsid w:val="000A23CE"/>
    <w:rsid w:val="000A25D9"/>
    <w:rsid w:val="000A3689"/>
    <w:rsid w:val="000A56F2"/>
    <w:rsid w:val="000A740B"/>
    <w:rsid w:val="000B2719"/>
    <w:rsid w:val="000B3A8F"/>
    <w:rsid w:val="000B4AB9"/>
    <w:rsid w:val="000B58C3"/>
    <w:rsid w:val="000B61E9"/>
    <w:rsid w:val="000B6AC0"/>
    <w:rsid w:val="000B7A4A"/>
    <w:rsid w:val="000C165A"/>
    <w:rsid w:val="000C2A16"/>
    <w:rsid w:val="000C2E19"/>
    <w:rsid w:val="000C41B5"/>
    <w:rsid w:val="000C5923"/>
    <w:rsid w:val="000D0236"/>
    <w:rsid w:val="000D080E"/>
    <w:rsid w:val="000D0D07"/>
    <w:rsid w:val="000D1A6A"/>
    <w:rsid w:val="000D4797"/>
    <w:rsid w:val="000D6E3C"/>
    <w:rsid w:val="000E0527"/>
    <w:rsid w:val="000E0A99"/>
    <w:rsid w:val="000E1E92"/>
    <w:rsid w:val="000E28B7"/>
    <w:rsid w:val="000E3BE7"/>
    <w:rsid w:val="000E4B4D"/>
    <w:rsid w:val="000E5CBA"/>
    <w:rsid w:val="000E75E2"/>
    <w:rsid w:val="000F06D6"/>
    <w:rsid w:val="000F0E23"/>
    <w:rsid w:val="000F0EB1"/>
    <w:rsid w:val="000F1106"/>
    <w:rsid w:val="000F157E"/>
    <w:rsid w:val="000F280E"/>
    <w:rsid w:val="000F3BE9"/>
    <w:rsid w:val="000F3F6C"/>
    <w:rsid w:val="000F4AF9"/>
    <w:rsid w:val="000F6DF3"/>
    <w:rsid w:val="001005FF"/>
    <w:rsid w:val="00104986"/>
    <w:rsid w:val="001062FB"/>
    <w:rsid w:val="001063E6"/>
    <w:rsid w:val="00107848"/>
    <w:rsid w:val="00107B50"/>
    <w:rsid w:val="00113029"/>
    <w:rsid w:val="00113CF4"/>
    <w:rsid w:val="00113E9C"/>
    <w:rsid w:val="00114EC4"/>
    <w:rsid w:val="001153EA"/>
    <w:rsid w:val="00115643"/>
    <w:rsid w:val="0011580B"/>
    <w:rsid w:val="00116765"/>
    <w:rsid w:val="001211AA"/>
    <w:rsid w:val="001219F5"/>
    <w:rsid w:val="00121A20"/>
    <w:rsid w:val="0012276B"/>
    <w:rsid w:val="0012377F"/>
    <w:rsid w:val="00123C36"/>
    <w:rsid w:val="00124314"/>
    <w:rsid w:val="001253B5"/>
    <w:rsid w:val="00126B4A"/>
    <w:rsid w:val="001276FD"/>
    <w:rsid w:val="001318AD"/>
    <w:rsid w:val="00132FD0"/>
    <w:rsid w:val="00133250"/>
    <w:rsid w:val="001344C0"/>
    <w:rsid w:val="001345E4"/>
    <w:rsid w:val="001346FA"/>
    <w:rsid w:val="00134DCF"/>
    <w:rsid w:val="00135252"/>
    <w:rsid w:val="001361A2"/>
    <w:rsid w:val="00137AB5"/>
    <w:rsid w:val="00137E07"/>
    <w:rsid w:val="00137F0B"/>
    <w:rsid w:val="00140D0F"/>
    <w:rsid w:val="0014193E"/>
    <w:rsid w:val="00150BD2"/>
    <w:rsid w:val="00150D8F"/>
    <w:rsid w:val="00151E23"/>
    <w:rsid w:val="001526E0"/>
    <w:rsid w:val="001551B5"/>
    <w:rsid w:val="001553C1"/>
    <w:rsid w:val="0016200A"/>
    <w:rsid w:val="00162A6A"/>
    <w:rsid w:val="0016318F"/>
    <w:rsid w:val="001659C1"/>
    <w:rsid w:val="0016640C"/>
    <w:rsid w:val="0017087B"/>
    <w:rsid w:val="00172991"/>
    <w:rsid w:val="00173A8E"/>
    <w:rsid w:val="0017502C"/>
    <w:rsid w:val="0018143F"/>
    <w:rsid w:val="0018155B"/>
    <w:rsid w:val="00181FF8"/>
    <w:rsid w:val="00182926"/>
    <w:rsid w:val="00183D32"/>
    <w:rsid w:val="00185AFF"/>
    <w:rsid w:val="00190AC1"/>
    <w:rsid w:val="00190C52"/>
    <w:rsid w:val="001920D8"/>
    <w:rsid w:val="0019341A"/>
    <w:rsid w:val="00197A76"/>
    <w:rsid w:val="00197DF9"/>
    <w:rsid w:val="001A1921"/>
    <w:rsid w:val="001A1987"/>
    <w:rsid w:val="001A2564"/>
    <w:rsid w:val="001A42EC"/>
    <w:rsid w:val="001A5FA1"/>
    <w:rsid w:val="001A6173"/>
    <w:rsid w:val="001A676A"/>
    <w:rsid w:val="001A6CBA"/>
    <w:rsid w:val="001B0D97"/>
    <w:rsid w:val="001B22DF"/>
    <w:rsid w:val="001B37DD"/>
    <w:rsid w:val="001B41BA"/>
    <w:rsid w:val="001B451B"/>
    <w:rsid w:val="001B48B6"/>
    <w:rsid w:val="001B5A5D"/>
    <w:rsid w:val="001C145B"/>
    <w:rsid w:val="001C1CE5"/>
    <w:rsid w:val="001C3D2A"/>
    <w:rsid w:val="001C6E0C"/>
    <w:rsid w:val="001D0961"/>
    <w:rsid w:val="001D14FF"/>
    <w:rsid w:val="001D2F32"/>
    <w:rsid w:val="001D37C0"/>
    <w:rsid w:val="001D3DAD"/>
    <w:rsid w:val="001D3F02"/>
    <w:rsid w:val="001D4E07"/>
    <w:rsid w:val="001D51BA"/>
    <w:rsid w:val="001D53E7"/>
    <w:rsid w:val="001D6342"/>
    <w:rsid w:val="001D6D53"/>
    <w:rsid w:val="001E2D1F"/>
    <w:rsid w:val="001E49FD"/>
    <w:rsid w:val="001E517A"/>
    <w:rsid w:val="001E58E2"/>
    <w:rsid w:val="001E7AED"/>
    <w:rsid w:val="001F01BA"/>
    <w:rsid w:val="001F01D2"/>
    <w:rsid w:val="001F3916"/>
    <w:rsid w:val="001F3A8E"/>
    <w:rsid w:val="001F4611"/>
    <w:rsid w:val="001F54C5"/>
    <w:rsid w:val="001F662C"/>
    <w:rsid w:val="001F6870"/>
    <w:rsid w:val="001F7074"/>
    <w:rsid w:val="00200490"/>
    <w:rsid w:val="00201F3A"/>
    <w:rsid w:val="00203F96"/>
    <w:rsid w:val="00205A91"/>
    <w:rsid w:val="00205EBA"/>
    <w:rsid w:val="002069B2"/>
    <w:rsid w:val="00207FA3"/>
    <w:rsid w:val="00212C47"/>
    <w:rsid w:val="00213974"/>
    <w:rsid w:val="002142E4"/>
    <w:rsid w:val="00214D2B"/>
    <w:rsid w:val="00214DA8"/>
    <w:rsid w:val="00214E08"/>
    <w:rsid w:val="00215423"/>
    <w:rsid w:val="002158FA"/>
    <w:rsid w:val="00220600"/>
    <w:rsid w:val="00220A10"/>
    <w:rsid w:val="00221A92"/>
    <w:rsid w:val="002224DB"/>
    <w:rsid w:val="00223FCB"/>
    <w:rsid w:val="00224E0D"/>
    <w:rsid w:val="002252C3"/>
    <w:rsid w:val="00225C54"/>
    <w:rsid w:val="00230765"/>
    <w:rsid w:val="00230D18"/>
    <w:rsid w:val="00231319"/>
    <w:rsid w:val="002319E4"/>
    <w:rsid w:val="00235632"/>
    <w:rsid w:val="00235872"/>
    <w:rsid w:val="00235BED"/>
    <w:rsid w:val="00235ED5"/>
    <w:rsid w:val="00241559"/>
    <w:rsid w:val="002435B3"/>
    <w:rsid w:val="002458EB"/>
    <w:rsid w:val="002500C8"/>
    <w:rsid w:val="002506C3"/>
    <w:rsid w:val="00250A05"/>
    <w:rsid w:val="002545FB"/>
    <w:rsid w:val="00257543"/>
    <w:rsid w:val="00257E45"/>
    <w:rsid w:val="002617E7"/>
    <w:rsid w:val="00264228"/>
    <w:rsid w:val="00264334"/>
    <w:rsid w:val="0026473E"/>
    <w:rsid w:val="002650C2"/>
    <w:rsid w:val="00266214"/>
    <w:rsid w:val="00267C83"/>
    <w:rsid w:val="0027144F"/>
    <w:rsid w:val="0027155B"/>
    <w:rsid w:val="00271813"/>
    <w:rsid w:val="00271F3A"/>
    <w:rsid w:val="00273278"/>
    <w:rsid w:val="002737F4"/>
    <w:rsid w:val="002805F5"/>
    <w:rsid w:val="00280751"/>
    <w:rsid w:val="00281964"/>
    <w:rsid w:val="00281AE7"/>
    <w:rsid w:val="00282021"/>
    <w:rsid w:val="002820D0"/>
    <w:rsid w:val="0028280A"/>
    <w:rsid w:val="00283CCD"/>
    <w:rsid w:val="00286ACD"/>
    <w:rsid w:val="0028770E"/>
    <w:rsid w:val="00287838"/>
    <w:rsid w:val="002907B5"/>
    <w:rsid w:val="00291088"/>
    <w:rsid w:val="00291531"/>
    <w:rsid w:val="00291EB6"/>
    <w:rsid w:val="00292EB7"/>
    <w:rsid w:val="00293E48"/>
    <w:rsid w:val="002943CE"/>
    <w:rsid w:val="00296227"/>
    <w:rsid w:val="00296F44"/>
    <w:rsid w:val="0029777D"/>
    <w:rsid w:val="00297888"/>
    <w:rsid w:val="002A055E"/>
    <w:rsid w:val="002A1D4E"/>
    <w:rsid w:val="002A2869"/>
    <w:rsid w:val="002A2F5D"/>
    <w:rsid w:val="002B0050"/>
    <w:rsid w:val="002B24D6"/>
    <w:rsid w:val="002C41E6"/>
    <w:rsid w:val="002C6963"/>
    <w:rsid w:val="002D071A"/>
    <w:rsid w:val="002D231F"/>
    <w:rsid w:val="002D2A80"/>
    <w:rsid w:val="002D34B2"/>
    <w:rsid w:val="002D48B0"/>
    <w:rsid w:val="002D5B37"/>
    <w:rsid w:val="002D60C4"/>
    <w:rsid w:val="002D7637"/>
    <w:rsid w:val="002D7ACA"/>
    <w:rsid w:val="002E0245"/>
    <w:rsid w:val="002E0397"/>
    <w:rsid w:val="002E17F2"/>
    <w:rsid w:val="002E23B2"/>
    <w:rsid w:val="002E4F10"/>
    <w:rsid w:val="002E7CAE"/>
    <w:rsid w:val="002F2771"/>
    <w:rsid w:val="002F31FE"/>
    <w:rsid w:val="002F37A9"/>
    <w:rsid w:val="002F5DB4"/>
    <w:rsid w:val="0030067B"/>
    <w:rsid w:val="00301CE6"/>
    <w:rsid w:val="0030256B"/>
    <w:rsid w:val="00303159"/>
    <w:rsid w:val="003046BC"/>
    <w:rsid w:val="0030501F"/>
    <w:rsid w:val="0030652C"/>
    <w:rsid w:val="00306840"/>
    <w:rsid w:val="003076DF"/>
    <w:rsid w:val="00307BA1"/>
    <w:rsid w:val="00311702"/>
    <w:rsid w:val="00311E82"/>
    <w:rsid w:val="00313FD6"/>
    <w:rsid w:val="003140D6"/>
    <w:rsid w:val="003143BD"/>
    <w:rsid w:val="00314707"/>
    <w:rsid w:val="0031495F"/>
    <w:rsid w:val="00315363"/>
    <w:rsid w:val="00315E59"/>
    <w:rsid w:val="0031770F"/>
    <w:rsid w:val="003203ED"/>
    <w:rsid w:val="00320CFE"/>
    <w:rsid w:val="003226B9"/>
    <w:rsid w:val="00322C9F"/>
    <w:rsid w:val="00324666"/>
    <w:rsid w:val="00324D23"/>
    <w:rsid w:val="0032675E"/>
    <w:rsid w:val="0032748E"/>
    <w:rsid w:val="00331751"/>
    <w:rsid w:val="00332B8A"/>
    <w:rsid w:val="00334579"/>
    <w:rsid w:val="00334F5B"/>
    <w:rsid w:val="00335858"/>
    <w:rsid w:val="00336BDA"/>
    <w:rsid w:val="0034102E"/>
    <w:rsid w:val="00342BD7"/>
    <w:rsid w:val="0034429F"/>
    <w:rsid w:val="00344985"/>
    <w:rsid w:val="0034567C"/>
    <w:rsid w:val="00346DB5"/>
    <w:rsid w:val="003477B1"/>
    <w:rsid w:val="00357380"/>
    <w:rsid w:val="0035753D"/>
    <w:rsid w:val="003602D9"/>
    <w:rsid w:val="003604CE"/>
    <w:rsid w:val="00362806"/>
    <w:rsid w:val="00364C86"/>
    <w:rsid w:val="00365CFD"/>
    <w:rsid w:val="00366E9E"/>
    <w:rsid w:val="00370E47"/>
    <w:rsid w:val="003720BE"/>
    <w:rsid w:val="003742AC"/>
    <w:rsid w:val="00374C0F"/>
    <w:rsid w:val="00375ED8"/>
    <w:rsid w:val="00377CE1"/>
    <w:rsid w:val="00385BF0"/>
    <w:rsid w:val="003879E0"/>
    <w:rsid w:val="003939FF"/>
    <w:rsid w:val="0039640D"/>
    <w:rsid w:val="003974E5"/>
    <w:rsid w:val="003A085F"/>
    <w:rsid w:val="003A18F5"/>
    <w:rsid w:val="003A2223"/>
    <w:rsid w:val="003A2622"/>
    <w:rsid w:val="003A2A0F"/>
    <w:rsid w:val="003A2B3F"/>
    <w:rsid w:val="003A2D78"/>
    <w:rsid w:val="003A45A1"/>
    <w:rsid w:val="003A5B0A"/>
    <w:rsid w:val="003A6326"/>
    <w:rsid w:val="003A6BAC"/>
    <w:rsid w:val="003A70A4"/>
    <w:rsid w:val="003A7EF3"/>
    <w:rsid w:val="003B0F49"/>
    <w:rsid w:val="003B159C"/>
    <w:rsid w:val="003B1A2E"/>
    <w:rsid w:val="003B2F4F"/>
    <w:rsid w:val="003B369F"/>
    <w:rsid w:val="003B36A3"/>
    <w:rsid w:val="003B411F"/>
    <w:rsid w:val="003B569F"/>
    <w:rsid w:val="003B5F87"/>
    <w:rsid w:val="003B64BB"/>
    <w:rsid w:val="003B696D"/>
    <w:rsid w:val="003B7FE5"/>
    <w:rsid w:val="003C0D9B"/>
    <w:rsid w:val="003C0F89"/>
    <w:rsid w:val="003C11C8"/>
    <w:rsid w:val="003C17F1"/>
    <w:rsid w:val="003C2702"/>
    <w:rsid w:val="003C2FB3"/>
    <w:rsid w:val="003C5712"/>
    <w:rsid w:val="003C5FB4"/>
    <w:rsid w:val="003C6211"/>
    <w:rsid w:val="003C6282"/>
    <w:rsid w:val="003C7806"/>
    <w:rsid w:val="003D03C2"/>
    <w:rsid w:val="003D09BF"/>
    <w:rsid w:val="003D109F"/>
    <w:rsid w:val="003D1B02"/>
    <w:rsid w:val="003D1F87"/>
    <w:rsid w:val="003D2478"/>
    <w:rsid w:val="003D32A4"/>
    <w:rsid w:val="003D3C45"/>
    <w:rsid w:val="003D5B1F"/>
    <w:rsid w:val="003D7CB0"/>
    <w:rsid w:val="003E15FA"/>
    <w:rsid w:val="003E2735"/>
    <w:rsid w:val="003E51AC"/>
    <w:rsid w:val="003E55E4"/>
    <w:rsid w:val="003E74E3"/>
    <w:rsid w:val="003E7CBD"/>
    <w:rsid w:val="003E7FE3"/>
    <w:rsid w:val="003F05C7"/>
    <w:rsid w:val="003F265C"/>
    <w:rsid w:val="003F2CD4"/>
    <w:rsid w:val="003F6BBE"/>
    <w:rsid w:val="003F75F4"/>
    <w:rsid w:val="003F7E55"/>
    <w:rsid w:val="004000E8"/>
    <w:rsid w:val="00402E2B"/>
    <w:rsid w:val="0040512B"/>
    <w:rsid w:val="00405CA5"/>
    <w:rsid w:val="00407CD3"/>
    <w:rsid w:val="00410134"/>
    <w:rsid w:val="00410B72"/>
    <w:rsid w:val="00410F18"/>
    <w:rsid w:val="00411E70"/>
    <w:rsid w:val="0041263E"/>
    <w:rsid w:val="004130D3"/>
    <w:rsid w:val="004134B6"/>
    <w:rsid w:val="00413589"/>
    <w:rsid w:val="00413AAC"/>
    <w:rsid w:val="00413E92"/>
    <w:rsid w:val="00414881"/>
    <w:rsid w:val="00414E69"/>
    <w:rsid w:val="00415A26"/>
    <w:rsid w:val="00421105"/>
    <w:rsid w:val="00421763"/>
    <w:rsid w:val="004218CD"/>
    <w:rsid w:val="004220D3"/>
    <w:rsid w:val="00422AA4"/>
    <w:rsid w:val="004234BA"/>
    <w:rsid w:val="004242F4"/>
    <w:rsid w:val="004258A9"/>
    <w:rsid w:val="00427248"/>
    <w:rsid w:val="004274B3"/>
    <w:rsid w:val="004307AF"/>
    <w:rsid w:val="004319B5"/>
    <w:rsid w:val="00431C90"/>
    <w:rsid w:val="00433777"/>
    <w:rsid w:val="0043717C"/>
    <w:rsid w:val="00437325"/>
    <w:rsid w:val="00437447"/>
    <w:rsid w:val="0043793D"/>
    <w:rsid w:val="00441A92"/>
    <w:rsid w:val="004431DC"/>
    <w:rsid w:val="00444F56"/>
    <w:rsid w:val="00446488"/>
    <w:rsid w:val="004517AA"/>
    <w:rsid w:val="00452CAC"/>
    <w:rsid w:val="004532A0"/>
    <w:rsid w:val="00456366"/>
    <w:rsid w:val="00457565"/>
    <w:rsid w:val="00457B71"/>
    <w:rsid w:val="0046693B"/>
    <w:rsid w:val="004669E2"/>
    <w:rsid w:val="004672D3"/>
    <w:rsid w:val="00470C31"/>
    <w:rsid w:val="004719B0"/>
    <w:rsid w:val="00471DE0"/>
    <w:rsid w:val="00472807"/>
    <w:rsid w:val="004734D0"/>
    <w:rsid w:val="00473C5E"/>
    <w:rsid w:val="0047556B"/>
    <w:rsid w:val="00477768"/>
    <w:rsid w:val="004817CB"/>
    <w:rsid w:val="004830FC"/>
    <w:rsid w:val="004860C1"/>
    <w:rsid w:val="00486282"/>
    <w:rsid w:val="00486F44"/>
    <w:rsid w:val="00492BC5"/>
    <w:rsid w:val="004964F1"/>
    <w:rsid w:val="00497361"/>
    <w:rsid w:val="00497B55"/>
    <w:rsid w:val="004A11CF"/>
    <w:rsid w:val="004A16BC"/>
    <w:rsid w:val="004A2B94"/>
    <w:rsid w:val="004A4082"/>
    <w:rsid w:val="004A5E56"/>
    <w:rsid w:val="004A7553"/>
    <w:rsid w:val="004B2A32"/>
    <w:rsid w:val="004B3C3E"/>
    <w:rsid w:val="004B4D80"/>
    <w:rsid w:val="004B592C"/>
    <w:rsid w:val="004B6F6A"/>
    <w:rsid w:val="004B7C0C"/>
    <w:rsid w:val="004C28D4"/>
    <w:rsid w:val="004C3898"/>
    <w:rsid w:val="004C46D5"/>
    <w:rsid w:val="004C58D4"/>
    <w:rsid w:val="004C6EB0"/>
    <w:rsid w:val="004C72D4"/>
    <w:rsid w:val="004C7C67"/>
    <w:rsid w:val="004D36B1"/>
    <w:rsid w:val="004D53DF"/>
    <w:rsid w:val="004D7EBD"/>
    <w:rsid w:val="004E00CF"/>
    <w:rsid w:val="004E2537"/>
    <w:rsid w:val="004E2680"/>
    <w:rsid w:val="004E28F9"/>
    <w:rsid w:val="004E36BD"/>
    <w:rsid w:val="004E462E"/>
    <w:rsid w:val="004E56DC"/>
    <w:rsid w:val="004E76F4"/>
    <w:rsid w:val="004E7ED8"/>
    <w:rsid w:val="004F0B4E"/>
    <w:rsid w:val="004F0B6C"/>
    <w:rsid w:val="004F2078"/>
    <w:rsid w:val="004F4DA3"/>
    <w:rsid w:val="004F5661"/>
    <w:rsid w:val="0050058F"/>
    <w:rsid w:val="005029BF"/>
    <w:rsid w:val="005042D2"/>
    <w:rsid w:val="00506557"/>
    <w:rsid w:val="0050677A"/>
    <w:rsid w:val="00510307"/>
    <w:rsid w:val="00510418"/>
    <w:rsid w:val="005108D8"/>
    <w:rsid w:val="005116F9"/>
    <w:rsid w:val="00512AED"/>
    <w:rsid w:val="005153A7"/>
    <w:rsid w:val="0051724C"/>
    <w:rsid w:val="00521587"/>
    <w:rsid w:val="005219CF"/>
    <w:rsid w:val="00522066"/>
    <w:rsid w:val="00526CD0"/>
    <w:rsid w:val="0053252B"/>
    <w:rsid w:val="00534B59"/>
    <w:rsid w:val="005351BD"/>
    <w:rsid w:val="0053659A"/>
    <w:rsid w:val="00536759"/>
    <w:rsid w:val="00536AB8"/>
    <w:rsid w:val="00537C62"/>
    <w:rsid w:val="00541075"/>
    <w:rsid w:val="00543C42"/>
    <w:rsid w:val="00546437"/>
    <w:rsid w:val="00546970"/>
    <w:rsid w:val="00551BF7"/>
    <w:rsid w:val="00552437"/>
    <w:rsid w:val="00552E69"/>
    <w:rsid w:val="00553512"/>
    <w:rsid w:val="00553592"/>
    <w:rsid w:val="00554E19"/>
    <w:rsid w:val="00555576"/>
    <w:rsid w:val="00557D0F"/>
    <w:rsid w:val="00557D53"/>
    <w:rsid w:val="0056121F"/>
    <w:rsid w:val="005620B7"/>
    <w:rsid w:val="005621B6"/>
    <w:rsid w:val="005645F8"/>
    <w:rsid w:val="005675D5"/>
    <w:rsid w:val="00567AE2"/>
    <w:rsid w:val="0057033A"/>
    <w:rsid w:val="00570E80"/>
    <w:rsid w:val="00572505"/>
    <w:rsid w:val="00573712"/>
    <w:rsid w:val="00573AE8"/>
    <w:rsid w:val="00576B8E"/>
    <w:rsid w:val="005774B0"/>
    <w:rsid w:val="00577B87"/>
    <w:rsid w:val="00582809"/>
    <w:rsid w:val="00582CC8"/>
    <w:rsid w:val="0058351D"/>
    <w:rsid w:val="005865AA"/>
    <w:rsid w:val="0058798C"/>
    <w:rsid w:val="005900FA"/>
    <w:rsid w:val="005930BE"/>
    <w:rsid w:val="005935A4"/>
    <w:rsid w:val="00593C2C"/>
    <w:rsid w:val="00593F69"/>
    <w:rsid w:val="0059404A"/>
    <w:rsid w:val="005948C2"/>
    <w:rsid w:val="00594E15"/>
    <w:rsid w:val="00595DCA"/>
    <w:rsid w:val="0059779B"/>
    <w:rsid w:val="005A0DBC"/>
    <w:rsid w:val="005A209A"/>
    <w:rsid w:val="005A4471"/>
    <w:rsid w:val="005A662D"/>
    <w:rsid w:val="005A6B96"/>
    <w:rsid w:val="005B1409"/>
    <w:rsid w:val="005B35D7"/>
    <w:rsid w:val="005B392A"/>
    <w:rsid w:val="005B3AA3"/>
    <w:rsid w:val="005B47E0"/>
    <w:rsid w:val="005B54FC"/>
    <w:rsid w:val="005B674F"/>
    <w:rsid w:val="005B6B4B"/>
    <w:rsid w:val="005B6F83"/>
    <w:rsid w:val="005B7215"/>
    <w:rsid w:val="005C1510"/>
    <w:rsid w:val="005C293D"/>
    <w:rsid w:val="005C74FB"/>
    <w:rsid w:val="005D1602"/>
    <w:rsid w:val="005D1E8B"/>
    <w:rsid w:val="005D5E37"/>
    <w:rsid w:val="005D6ADD"/>
    <w:rsid w:val="005E09AA"/>
    <w:rsid w:val="005E1BE5"/>
    <w:rsid w:val="005E385F"/>
    <w:rsid w:val="005E4238"/>
    <w:rsid w:val="005E4928"/>
    <w:rsid w:val="005E54CC"/>
    <w:rsid w:val="005E5B81"/>
    <w:rsid w:val="005F0816"/>
    <w:rsid w:val="005F0C71"/>
    <w:rsid w:val="005F0E8E"/>
    <w:rsid w:val="005F2CB1"/>
    <w:rsid w:val="005F3025"/>
    <w:rsid w:val="005F618C"/>
    <w:rsid w:val="005F70BD"/>
    <w:rsid w:val="005F73F0"/>
    <w:rsid w:val="006003A1"/>
    <w:rsid w:val="006012C9"/>
    <w:rsid w:val="006023CD"/>
    <w:rsid w:val="006027E6"/>
    <w:rsid w:val="0060283C"/>
    <w:rsid w:val="00603E46"/>
    <w:rsid w:val="0060432E"/>
    <w:rsid w:val="00604F14"/>
    <w:rsid w:val="00607CC7"/>
    <w:rsid w:val="00611B83"/>
    <w:rsid w:val="00613257"/>
    <w:rsid w:val="006168D0"/>
    <w:rsid w:val="00616F6C"/>
    <w:rsid w:val="00620A71"/>
    <w:rsid w:val="00620D80"/>
    <w:rsid w:val="006234A6"/>
    <w:rsid w:val="0062358D"/>
    <w:rsid w:val="006272D7"/>
    <w:rsid w:val="00630001"/>
    <w:rsid w:val="006311B3"/>
    <w:rsid w:val="0063284C"/>
    <w:rsid w:val="006329FB"/>
    <w:rsid w:val="00634C01"/>
    <w:rsid w:val="00636398"/>
    <w:rsid w:val="006368D3"/>
    <w:rsid w:val="006377EC"/>
    <w:rsid w:val="00637856"/>
    <w:rsid w:val="0064151F"/>
    <w:rsid w:val="00641533"/>
    <w:rsid w:val="00641EEE"/>
    <w:rsid w:val="0064208D"/>
    <w:rsid w:val="00643475"/>
    <w:rsid w:val="0064396A"/>
    <w:rsid w:val="0064624E"/>
    <w:rsid w:val="00647315"/>
    <w:rsid w:val="006507E8"/>
    <w:rsid w:val="00650AB9"/>
    <w:rsid w:val="006524A1"/>
    <w:rsid w:val="00654723"/>
    <w:rsid w:val="00655733"/>
    <w:rsid w:val="00655ACD"/>
    <w:rsid w:val="00656A92"/>
    <w:rsid w:val="00656DDE"/>
    <w:rsid w:val="0066011D"/>
    <w:rsid w:val="006607C0"/>
    <w:rsid w:val="006613A6"/>
    <w:rsid w:val="006627A2"/>
    <w:rsid w:val="006634E6"/>
    <w:rsid w:val="006655EE"/>
    <w:rsid w:val="006679E9"/>
    <w:rsid w:val="00667EE7"/>
    <w:rsid w:val="00670922"/>
    <w:rsid w:val="00670BE1"/>
    <w:rsid w:val="00671814"/>
    <w:rsid w:val="006719FB"/>
    <w:rsid w:val="0067218F"/>
    <w:rsid w:val="006741F2"/>
    <w:rsid w:val="00674CC3"/>
    <w:rsid w:val="0067517B"/>
    <w:rsid w:val="00675C72"/>
    <w:rsid w:val="00675CC8"/>
    <w:rsid w:val="006771F9"/>
    <w:rsid w:val="006776D7"/>
    <w:rsid w:val="00681003"/>
    <w:rsid w:val="006817C9"/>
    <w:rsid w:val="00683ECE"/>
    <w:rsid w:val="0068588B"/>
    <w:rsid w:val="00685FD9"/>
    <w:rsid w:val="00686F4D"/>
    <w:rsid w:val="006870D8"/>
    <w:rsid w:val="00692786"/>
    <w:rsid w:val="00694AED"/>
    <w:rsid w:val="00695FC2"/>
    <w:rsid w:val="00696949"/>
    <w:rsid w:val="00696D53"/>
    <w:rsid w:val="00697052"/>
    <w:rsid w:val="006A46FB"/>
    <w:rsid w:val="006A49E7"/>
    <w:rsid w:val="006A5C29"/>
    <w:rsid w:val="006A5E28"/>
    <w:rsid w:val="006A697B"/>
    <w:rsid w:val="006A7AFF"/>
    <w:rsid w:val="006B0552"/>
    <w:rsid w:val="006B119B"/>
    <w:rsid w:val="006B1816"/>
    <w:rsid w:val="006B2099"/>
    <w:rsid w:val="006B3309"/>
    <w:rsid w:val="006B37D2"/>
    <w:rsid w:val="006B50CF"/>
    <w:rsid w:val="006B5FE1"/>
    <w:rsid w:val="006B6C2A"/>
    <w:rsid w:val="006C03B8"/>
    <w:rsid w:val="006C217D"/>
    <w:rsid w:val="006C51F6"/>
    <w:rsid w:val="006C5EC9"/>
    <w:rsid w:val="006C6059"/>
    <w:rsid w:val="006C7436"/>
    <w:rsid w:val="006C7522"/>
    <w:rsid w:val="006D09D5"/>
    <w:rsid w:val="006D1563"/>
    <w:rsid w:val="006D2DF2"/>
    <w:rsid w:val="006D2EC4"/>
    <w:rsid w:val="006D4CA1"/>
    <w:rsid w:val="006D6F08"/>
    <w:rsid w:val="006E062C"/>
    <w:rsid w:val="006E1C82"/>
    <w:rsid w:val="006E28B7"/>
    <w:rsid w:val="006E2A9B"/>
    <w:rsid w:val="006E3310"/>
    <w:rsid w:val="006E4E39"/>
    <w:rsid w:val="006E565E"/>
    <w:rsid w:val="006E673D"/>
    <w:rsid w:val="006E7D3B"/>
    <w:rsid w:val="006F1975"/>
    <w:rsid w:val="006F1B70"/>
    <w:rsid w:val="006F261B"/>
    <w:rsid w:val="006F341D"/>
    <w:rsid w:val="006F3CDE"/>
    <w:rsid w:val="006F431B"/>
    <w:rsid w:val="006F58D4"/>
    <w:rsid w:val="006F5E01"/>
    <w:rsid w:val="006F6582"/>
    <w:rsid w:val="006F72F1"/>
    <w:rsid w:val="006F7595"/>
    <w:rsid w:val="0070346E"/>
    <w:rsid w:val="00704EDB"/>
    <w:rsid w:val="00706101"/>
    <w:rsid w:val="00707072"/>
    <w:rsid w:val="00707D61"/>
    <w:rsid w:val="00707EEB"/>
    <w:rsid w:val="007118D0"/>
    <w:rsid w:val="00712287"/>
    <w:rsid w:val="00712772"/>
    <w:rsid w:val="00713422"/>
    <w:rsid w:val="007142AF"/>
    <w:rsid w:val="007148D3"/>
    <w:rsid w:val="00715535"/>
    <w:rsid w:val="00715B9A"/>
    <w:rsid w:val="0071653A"/>
    <w:rsid w:val="00717840"/>
    <w:rsid w:val="007217ED"/>
    <w:rsid w:val="0072208D"/>
    <w:rsid w:val="0072235F"/>
    <w:rsid w:val="00723711"/>
    <w:rsid w:val="007257D0"/>
    <w:rsid w:val="00725F59"/>
    <w:rsid w:val="0072631E"/>
    <w:rsid w:val="00726EA6"/>
    <w:rsid w:val="00727208"/>
    <w:rsid w:val="00727680"/>
    <w:rsid w:val="0073039D"/>
    <w:rsid w:val="00730882"/>
    <w:rsid w:val="00734035"/>
    <w:rsid w:val="007342BC"/>
    <w:rsid w:val="007348B1"/>
    <w:rsid w:val="00734F75"/>
    <w:rsid w:val="007362A6"/>
    <w:rsid w:val="00736D7D"/>
    <w:rsid w:val="00740E58"/>
    <w:rsid w:val="007445A0"/>
    <w:rsid w:val="00744828"/>
    <w:rsid w:val="0074524B"/>
    <w:rsid w:val="0074678F"/>
    <w:rsid w:val="00747D8B"/>
    <w:rsid w:val="00751228"/>
    <w:rsid w:val="007534A8"/>
    <w:rsid w:val="007550A6"/>
    <w:rsid w:val="00755AC2"/>
    <w:rsid w:val="007571E1"/>
    <w:rsid w:val="00757A56"/>
    <w:rsid w:val="007604B2"/>
    <w:rsid w:val="00761CFF"/>
    <w:rsid w:val="007623AA"/>
    <w:rsid w:val="00765281"/>
    <w:rsid w:val="00766BAD"/>
    <w:rsid w:val="0077222F"/>
    <w:rsid w:val="007729A2"/>
    <w:rsid w:val="007729E3"/>
    <w:rsid w:val="007740F6"/>
    <w:rsid w:val="007755F2"/>
    <w:rsid w:val="00776971"/>
    <w:rsid w:val="0078049B"/>
    <w:rsid w:val="00780A80"/>
    <w:rsid w:val="0078177E"/>
    <w:rsid w:val="00781BE7"/>
    <w:rsid w:val="0078304C"/>
    <w:rsid w:val="00783673"/>
    <w:rsid w:val="00783D1D"/>
    <w:rsid w:val="00785490"/>
    <w:rsid w:val="0079075F"/>
    <w:rsid w:val="007909E8"/>
    <w:rsid w:val="007911F3"/>
    <w:rsid w:val="007925EA"/>
    <w:rsid w:val="00793CD8"/>
    <w:rsid w:val="00794534"/>
    <w:rsid w:val="00795C92"/>
    <w:rsid w:val="00796231"/>
    <w:rsid w:val="00797593"/>
    <w:rsid w:val="007A059F"/>
    <w:rsid w:val="007A06C6"/>
    <w:rsid w:val="007A1CB3"/>
    <w:rsid w:val="007A1CF8"/>
    <w:rsid w:val="007A27EF"/>
    <w:rsid w:val="007A306F"/>
    <w:rsid w:val="007A3609"/>
    <w:rsid w:val="007A43A6"/>
    <w:rsid w:val="007A58A6"/>
    <w:rsid w:val="007A6D90"/>
    <w:rsid w:val="007B24C0"/>
    <w:rsid w:val="007B3058"/>
    <w:rsid w:val="007B3D2D"/>
    <w:rsid w:val="007B49C3"/>
    <w:rsid w:val="007B50AE"/>
    <w:rsid w:val="007B51DF"/>
    <w:rsid w:val="007B6656"/>
    <w:rsid w:val="007B7508"/>
    <w:rsid w:val="007C05DD"/>
    <w:rsid w:val="007C0B62"/>
    <w:rsid w:val="007C138E"/>
    <w:rsid w:val="007C3D18"/>
    <w:rsid w:val="007C48F8"/>
    <w:rsid w:val="007C60BF"/>
    <w:rsid w:val="007C6A07"/>
    <w:rsid w:val="007C75A1"/>
    <w:rsid w:val="007C77A5"/>
    <w:rsid w:val="007D04E5"/>
    <w:rsid w:val="007D161C"/>
    <w:rsid w:val="007D206F"/>
    <w:rsid w:val="007D2A04"/>
    <w:rsid w:val="007D5901"/>
    <w:rsid w:val="007D7526"/>
    <w:rsid w:val="007D75CC"/>
    <w:rsid w:val="007E0C74"/>
    <w:rsid w:val="007E1A5B"/>
    <w:rsid w:val="007E4610"/>
    <w:rsid w:val="007E4715"/>
    <w:rsid w:val="007E505B"/>
    <w:rsid w:val="007E69B8"/>
    <w:rsid w:val="007E7091"/>
    <w:rsid w:val="007F315D"/>
    <w:rsid w:val="007F6291"/>
    <w:rsid w:val="007F66A5"/>
    <w:rsid w:val="007F7393"/>
    <w:rsid w:val="008002B0"/>
    <w:rsid w:val="0080043C"/>
    <w:rsid w:val="008008ED"/>
    <w:rsid w:val="0080118C"/>
    <w:rsid w:val="008033D3"/>
    <w:rsid w:val="00803FAE"/>
    <w:rsid w:val="00805ED8"/>
    <w:rsid w:val="0080605F"/>
    <w:rsid w:val="00806B92"/>
    <w:rsid w:val="00807786"/>
    <w:rsid w:val="008104CD"/>
    <w:rsid w:val="00811FCB"/>
    <w:rsid w:val="0081290F"/>
    <w:rsid w:val="008142BD"/>
    <w:rsid w:val="00814555"/>
    <w:rsid w:val="008158D6"/>
    <w:rsid w:val="00816C16"/>
    <w:rsid w:val="00817196"/>
    <w:rsid w:val="008209F4"/>
    <w:rsid w:val="0082157B"/>
    <w:rsid w:val="008235DB"/>
    <w:rsid w:val="00824AB4"/>
    <w:rsid w:val="00824CB3"/>
    <w:rsid w:val="00825C42"/>
    <w:rsid w:val="00825D25"/>
    <w:rsid w:val="00827329"/>
    <w:rsid w:val="00827D6F"/>
    <w:rsid w:val="00830954"/>
    <w:rsid w:val="008339DB"/>
    <w:rsid w:val="00836C15"/>
    <w:rsid w:val="00837674"/>
    <w:rsid w:val="008376AC"/>
    <w:rsid w:val="0083777A"/>
    <w:rsid w:val="00840998"/>
    <w:rsid w:val="00841D7B"/>
    <w:rsid w:val="00842E85"/>
    <w:rsid w:val="008444E8"/>
    <w:rsid w:val="008447B4"/>
    <w:rsid w:val="00844E80"/>
    <w:rsid w:val="00846FE7"/>
    <w:rsid w:val="00847FD2"/>
    <w:rsid w:val="00853247"/>
    <w:rsid w:val="00855F11"/>
    <w:rsid w:val="00856911"/>
    <w:rsid w:val="00856FB4"/>
    <w:rsid w:val="0085783B"/>
    <w:rsid w:val="00857948"/>
    <w:rsid w:val="00860237"/>
    <w:rsid w:val="0086359E"/>
    <w:rsid w:val="0086445A"/>
    <w:rsid w:val="0086562D"/>
    <w:rsid w:val="008677FD"/>
    <w:rsid w:val="008706D4"/>
    <w:rsid w:val="00870F8A"/>
    <w:rsid w:val="008711F4"/>
    <w:rsid w:val="008719A4"/>
    <w:rsid w:val="00871D23"/>
    <w:rsid w:val="00872F1B"/>
    <w:rsid w:val="0087330E"/>
    <w:rsid w:val="008737DB"/>
    <w:rsid w:val="00874312"/>
    <w:rsid w:val="0087437C"/>
    <w:rsid w:val="008750C0"/>
    <w:rsid w:val="008755F4"/>
    <w:rsid w:val="00875810"/>
    <w:rsid w:val="00875CD7"/>
    <w:rsid w:val="00876B4D"/>
    <w:rsid w:val="00877538"/>
    <w:rsid w:val="00877F18"/>
    <w:rsid w:val="008800E6"/>
    <w:rsid w:val="00880B67"/>
    <w:rsid w:val="0088384E"/>
    <w:rsid w:val="00883DE0"/>
    <w:rsid w:val="0088497A"/>
    <w:rsid w:val="0088677E"/>
    <w:rsid w:val="00886C9A"/>
    <w:rsid w:val="008941E3"/>
    <w:rsid w:val="00894A88"/>
    <w:rsid w:val="00895386"/>
    <w:rsid w:val="00897881"/>
    <w:rsid w:val="008A21FF"/>
    <w:rsid w:val="008A2CE2"/>
    <w:rsid w:val="008A30AC"/>
    <w:rsid w:val="008A44B8"/>
    <w:rsid w:val="008A51A8"/>
    <w:rsid w:val="008A54C7"/>
    <w:rsid w:val="008A65CF"/>
    <w:rsid w:val="008A728A"/>
    <w:rsid w:val="008A77D8"/>
    <w:rsid w:val="008B0483"/>
    <w:rsid w:val="008B112C"/>
    <w:rsid w:val="008B120C"/>
    <w:rsid w:val="008B1A53"/>
    <w:rsid w:val="008B51A0"/>
    <w:rsid w:val="008B57FD"/>
    <w:rsid w:val="008B592A"/>
    <w:rsid w:val="008B5A7E"/>
    <w:rsid w:val="008B6E2B"/>
    <w:rsid w:val="008B7B5C"/>
    <w:rsid w:val="008C0426"/>
    <w:rsid w:val="008C0C99"/>
    <w:rsid w:val="008C2017"/>
    <w:rsid w:val="008C34A9"/>
    <w:rsid w:val="008C4958"/>
    <w:rsid w:val="008C4BAA"/>
    <w:rsid w:val="008C4E3A"/>
    <w:rsid w:val="008C523A"/>
    <w:rsid w:val="008C600F"/>
    <w:rsid w:val="008C6AE8"/>
    <w:rsid w:val="008C7573"/>
    <w:rsid w:val="008D00A5"/>
    <w:rsid w:val="008D1C13"/>
    <w:rsid w:val="008D24B4"/>
    <w:rsid w:val="008D34A8"/>
    <w:rsid w:val="008D34F1"/>
    <w:rsid w:val="008D39D8"/>
    <w:rsid w:val="008D6314"/>
    <w:rsid w:val="008D6D1A"/>
    <w:rsid w:val="008D75D5"/>
    <w:rsid w:val="008E065E"/>
    <w:rsid w:val="008E081F"/>
    <w:rsid w:val="008E0927"/>
    <w:rsid w:val="008E1909"/>
    <w:rsid w:val="008E32A5"/>
    <w:rsid w:val="008E50A8"/>
    <w:rsid w:val="008E73E6"/>
    <w:rsid w:val="008E7740"/>
    <w:rsid w:val="008E7FE4"/>
    <w:rsid w:val="008F1C4E"/>
    <w:rsid w:val="008F1EAB"/>
    <w:rsid w:val="008F33DC"/>
    <w:rsid w:val="008F3E39"/>
    <w:rsid w:val="008F472E"/>
    <w:rsid w:val="008F477F"/>
    <w:rsid w:val="00902350"/>
    <w:rsid w:val="0090336B"/>
    <w:rsid w:val="00903795"/>
    <w:rsid w:val="009053AA"/>
    <w:rsid w:val="00906939"/>
    <w:rsid w:val="00910B7D"/>
    <w:rsid w:val="009114A4"/>
    <w:rsid w:val="00911DFB"/>
    <w:rsid w:val="009139D9"/>
    <w:rsid w:val="00914AD8"/>
    <w:rsid w:val="00914B4C"/>
    <w:rsid w:val="00916079"/>
    <w:rsid w:val="00916157"/>
    <w:rsid w:val="00916E19"/>
    <w:rsid w:val="009177AF"/>
    <w:rsid w:val="00917CE9"/>
    <w:rsid w:val="00920199"/>
    <w:rsid w:val="00920BF2"/>
    <w:rsid w:val="00922010"/>
    <w:rsid w:val="00922A83"/>
    <w:rsid w:val="00922EAC"/>
    <w:rsid w:val="00926F28"/>
    <w:rsid w:val="0093063F"/>
    <w:rsid w:val="009315A7"/>
    <w:rsid w:val="00931BD9"/>
    <w:rsid w:val="00936763"/>
    <w:rsid w:val="009368F3"/>
    <w:rsid w:val="00941636"/>
    <w:rsid w:val="00943742"/>
    <w:rsid w:val="009454B1"/>
    <w:rsid w:val="00945710"/>
    <w:rsid w:val="009457EB"/>
    <w:rsid w:val="00945A0E"/>
    <w:rsid w:val="00945B19"/>
    <w:rsid w:val="00945C05"/>
    <w:rsid w:val="00946945"/>
    <w:rsid w:val="00947713"/>
    <w:rsid w:val="00950DE7"/>
    <w:rsid w:val="00953920"/>
    <w:rsid w:val="00953A0C"/>
    <w:rsid w:val="00953D47"/>
    <w:rsid w:val="0095519C"/>
    <w:rsid w:val="0095681E"/>
    <w:rsid w:val="009572D4"/>
    <w:rsid w:val="00961921"/>
    <w:rsid w:val="0096430A"/>
    <w:rsid w:val="009648CD"/>
    <w:rsid w:val="0096554B"/>
    <w:rsid w:val="0096584A"/>
    <w:rsid w:val="0096612E"/>
    <w:rsid w:val="0096625F"/>
    <w:rsid w:val="009672D2"/>
    <w:rsid w:val="0097097D"/>
    <w:rsid w:val="00971A82"/>
    <w:rsid w:val="00971F08"/>
    <w:rsid w:val="0097305E"/>
    <w:rsid w:val="009752D1"/>
    <w:rsid w:val="0097603D"/>
    <w:rsid w:val="00976949"/>
    <w:rsid w:val="00976DF5"/>
    <w:rsid w:val="00980477"/>
    <w:rsid w:val="00980C40"/>
    <w:rsid w:val="009816B0"/>
    <w:rsid w:val="00985253"/>
    <w:rsid w:val="009853B3"/>
    <w:rsid w:val="00990630"/>
    <w:rsid w:val="00990E65"/>
    <w:rsid w:val="0099146D"/>
    <w:rsid w:val="00991761"/>
    <w:rsid w:val="00994833"/>
    <w:rsid w:val="00994DCA"/>
    <w:rsid w:val="009960EC"/>
    <w:rsid w:val="009970DD"/>
    <w:rsid w:val="009A0BE9"/>
    <w:rsid w:val="009A0FBA"/>
    <w:rsid w:val="009A1601"/>
    <w:rsid w:val="009A3BB6"/>
    <w:rsid w:val="009A462D"/>
    <w:rsid w:val="009A5CBA"/>
    <w:rsid w:val="009A60A7"/>
    <w:rsid w:val="009A7DCE"/>
    <w:rsid w:val="009B06DD"/>
    <w:rsid w:val="009B1F30"/>
    <w:rsid w:val="009B2999"/>
    <w:rsid w:val="009B3AC2"/>
    <w:rsid w:val="009B3AFB"/>
    <w:rsid w:val="009B4585"/>
    <w:rsid w:val="009B4B20"/>
    <w:rsid w:val="009B4DF4"/>
    <w:rsid w:val="009B564E"/>
    <w:rsid w:val="009B5D6A"/>
    <w:rsid w:val="009B7E87"/>
    <w:rsid w:val="009C0169"/>
    <w:rsid w:val="009C2A76"/>
    <w:rsid w:val="009C403E"/>
    <w:rsid w:val="009C5145"/>
    <w:rsid w:val="009C6E8D"/>
    <w:rsid w:val="009C7FC0"/>
    <w:rsid w:val="009D1846"/>
    <w:rsid w:val="009D4FF0"/>
    <w:rsid w:val="009D703C"/>
    <w:rsid w:val="009D718F"/>
    <w:rsid w:val="009E068F"/>
    <w:rsid w:val="009E14E0"/>
    <w:rsid w:val="009E1E53"/>
    <w:rsid w:val="009E2495"/>
    <w:rsid w:val="009E35DB"/>
    <w:rsid w:val="009E3F6D"/>
    <w:rsid w:val="009E47A3"/>
    <w:rsid w:val="009E584B"/>
    <w:rsid w:val="009E65CB"/>
    <w:rsid w:val="009E68E9"/>
    <w:rsid w:val="009E7E73"/>
    <w:rsid w:val="009F08F3"/>
    <w:rsid w:val="009F2B8F"/>
    <w:rsid w:val="009F344F"/>
    <w:rsid w:val="009F5DB1"/>
    <w:rsid w:val="009F6558"/>
    <w:rsid w:val="00A002D2"/>
    <w:rsid w:val="00A031D8"/>
    <w:rsid w:val="00A048A8"/>
    <w:rsid w:val="00A04F49"/>
    <w:rsid w:val="00A072F8"/>
    <w:rsid w:val="00A11A28"/>
    <w:rsid w:val="00A13D1C"/>
    <w:rsid w:val="00A13E54"/>
    <w:rsid w:val="00A160CC"/>
    <w:rsid w:val="00A17F63"/>
    <w:rsid w:val="00A20FA1"/>
    <w:rsid w:val="00A2193B"/>
    <w:rsid w:val="00A2351A"/>
    <w:rsid w:val="00A237B7"/>
    <w:rsid w:val="00A264A9"/>
    <w:rsid w:val="00A26DCF"/>
    <w:rsid w:val="00A275D8"/>
    <w:rsid w:val="00A27785"/>
    <w:rsid w:val="00A30187"/>
    <w:rsid w:val="00A322CB"/>
    <w:rsid w:val="00A3448A"/>
    <w:rsid w:val="00A36297"/>
    <w:rsid w:val="00A40C08"/>
    <w:rsid w:val="00A41E2B"/>
    <w:rsid w:val="00A42B88"/>
    <w:rsid w:val="00A45B74"/>
    <w:rsid w:val="00A506FC"/>
    <w:rsid w:val="00A52E1D"/>
    <w:rsid w:val="00A53240"/>
    <w:rsid w:val="00A5721A"/>
    <w:rsid w:val="00A5751D"/>
    <w:rsid w:val="00A575B2"/>
    <w:rsid w:val="00A61174"/>
    <w:rsid w:val="00A61499"/>
    <w:rsid w:val="00A62410"/>
    <w:rsid w:val="00A62A77"/>
    <w:rsid w:val="00A6344D"/>
    <w:rsid w:val="00A63483"/>
    <w:rsid w:val="00A6355B"/>
    <w:rsid w:val="00A640CA"/>
    <w:rsid w:val="00A657D7"/>
    <w:rsid w:val="00A660AC"/>
    <w:rsid w:val="00A67E6C"/>
    <w:rsid w:val="00A702D6"/>
    <w:rsid w:val="00A71B99"/>
    <w:rsid w:val="00A739D0"/>
    <w:rsid w:val="00A75494"/>
    <w:rsid w:val="00A761D4"/>
    <w:rsid w:val="00A77EC4"/>
    <w:rsid w:val="00A835EC"/>
    <w:rsid w:val="00A92879"/>
    <w:rsid w:val="00A928C4"/>
    <w:rsid w:val="00A9442A"/>
    <w:rsid w:val="00A97AC8"/>
    <w:rsid w:val="00AA016F"/>
    <w:rsid w:val="00AA1680"/>
    <w:rsid w:val="00AA1ED6"/>
    <w:rsid w:val="00AA3EF8"/>
    <w:rsid w:val="00AA51D6"/>
    <w:rsid w:val="00AA5A7C"/>
    <w:rsid w:val="00AB0BC8"/>
    <w:rsid w:val="00AB11CA"/>
    <w:rsid w:val="00AB14D9"/>
    <w:rsid w:val="00AB4726"/>
    <w:rsid w:val="00AB4AB8"/>
    <w:rsid w:val="00AB5853"/>
    <w:rsid w:val="00AB655E"/>
    <w:rsid w:val="00AC007F"/>
    <w:rsid w:val="00AC1318"/>
    <w:rsid w:val="00AC17B5"/>
    <w:rsid w:val="00AC229A"/>
    <w:rsid w:val="00AC2ECD"/>
    <w:rsid w:val="00AC3119"/>
    <w:rsid w:val="00AC43A0"/>
    <w:rsid w:val="00AC49FB"/>
    <w:rsid w:val="00AC5A10"/>
    <w:rsid w:val="00AC6C67"/>
    <w:rsid w:val="00AD0AA3"/>
    <w:rsid w:val="00AD20ED"/>
    <w:rsid w:val="00AD2ED0"/>
    <w:rsid w:val="00AD3F94"/>
    <w:rsid w:val="00AD4A5A"/>
    <w:rsid w:val="00AD6682"/>
    <w:rsid w:val="00AD7109"/>
    <w:rsid w:val="00AD7E0D"/>
    <w:rsid w:val="00AE004F"/>
    <w:rsid w:val="00AE27AC"/>
    <w:rsid w:val="00AE40E0"/>
    <w:rsid w:val="00AE4421"/>
    <w:rsid w:val="00AE4DBA"/>
    <w:rsid w:val="00AE4F07"/>
    <w:rsid w:val="00AE6292"/>
    <w:rsid w:val="00AF1C5D"/>
    <w:rsid w:val="00AF42D7"/>
    <w:rsid w:val="00AF50F7"/>
    <w:rsid w:val="00B006FE"/>
    <w:rsid w:val="00B007CB"/>
    <w:rsid w:val="00B02AA9"/>
    <w:rsid w:val="00B02FA3"/>
    <w:rsid w:val="00B04099"/>
    <w:rsid w:val="00B05084"/>
    <w:rsid w:val="00B13A59"/>
    <w:rsid w:val="00B13C37"/>
    <w:rsid w:val="00B15365"/>
    <w:rsid w:val="00B157F9"/>
    <w:rsid w:val="00B16BBA"/>
    <w:rsid w:val="00B17F7C"/>
    <w:rsid w:val="00B20256"/>
    <w:rsid w:val="00B20B20"/>
    <w:rsid w:val="00B20B9C"/>
    <w:rsid w:val="00B20D09"/>
    <w:rsid w:val="00B230A5"/>
    <w:rsid w:val="00B253B9"/>
    <w:rsid w:val="00B2763F"/>
    <w:rsid w:val="00B27AAC"/>
    <w:rsid w:val="00B30526"/>
    <w:rsid w:val="00B307CE"/>
    <w:rsid w:val="00B30929"/>
    <w:rsid w:val="00B31988"/>
    <w:rsid w:val="00B36630"/>
    <w:rsid w:val="00B372AA"/>
    <w:rsid w:val="00B40445"/>
    <w:rsid w:val="00B40479"/>
    <w:rsid w:val="00B409E0"/>
    <w:rsid w:val="00B41888"/>
    <w:rsid w:val="00B44ABF"/>
    <w:rsid w:val="00B45A52"/>
    <w:rsid w:val="00B46175"/>
    <w:rsid w:val="00B51136"/>
    <w:rsid w:val="00B5181D"/>
    <w:rsid w:val="00B520D6"/>
    <w:rsid w:val="00B539A9"/>
    <w:rsid w:val="00B54036"/>
    <w:rsid w:val="00B548B7"/>
    <w:rsid w:val="00B55A88"/>
    <w:rsid w:val="00B571E4"/>
    <w:rsid w:val="00B64FE2"/>
    <w:rsid w:val="00B65648"/>
    <w:rsid w:val="00B65FFE"/>
    <w:rsid w:val="00B664C7"/>
    <w:rsid w:val="00B7004F"/>
    <w:rsid w:val="00B70427"/>
    <w:rsid w:val="00B72FA4"/>
    <w:rsid w:val="00B739F6"/>
    <w:rsid w:val="00B7483C"/>
    <w:rsid w:val="00B7512A"/>
    <w:rsid w:val="00B76530"/>
    <w:rsid w:val="00B76850"/>
    <w:rsid w:val="00B76D2F"/>
    <w:rsid w:val="00B80045"/>
    <w:rsid w:val="00B8107A"/>
    <w:rsid w:val="00B81A6C"/>
    <w:rsid w:val="00B82D57"/>
    <w:rsid w:val="00B858DE"/>
    <w:rsid w:val="00B85DE5"/>
    <w:rsid w:val="00B8658F"/>
    <w:rsid w:val="00B90F73"/>
    <w:rsid w:val="00B9210A"/>
    <w:rsid w:val="00B92C4A"/>
    <w:rsid w:val="00B92CD6"/>
    <w:rsid w:val="00B93B59"/>
    <w:rsid w:val="00B9406A"/>
    <w:rsid w:val="00B969C0"/>
    <w:rsid w:val="00BA2280"/>
    <w:rsid w:val="00BA2A08"/>
    <w:rsid w:val="00BA3C88"/>
    <w:rsid w:val="00BA47E8"/>
    <w:rsid w:val="00BA56D2"/>
    <w:rsid w:val="00BA5E3C"/>
    <w:rsid w:val="00BA76E0"/>
    <w:rsid w:val="00BB0789"/>
    <w:rsid w:val="00BB2A25"/>
    <w:rsid w:val="00BB3F9B"/>
    <w:rsid w:val="00BB44D7"/>
    <w:rsid w:val="00BB51E9"/>
    <w:rsid w:val="00BB6293"/>
    <w:rsid w:val="00BB68CB"/>
    <w:rsid w:val="00BC00E2"/>
    <w:rsid w:val="00BC07B8"/>
    <w:rsid w:val="00BC0FDC"/>
    <w:rsid w:val="00BC3053"/>
    <w:rsid w:val="00BC4D2E"/>
    <w:rsid w:val="00BC5F15"/>
    <w:rsid w:val="00BC6671"/>
    <w:rsid w:val="00BD48AC"/>
    <w:rsid w:val="00BD5F1A"/>
    <w:rsid w:val="00BE0503"/>
    <w:rsid w:val="00BE1234"/>
    <w:rsid w:val="00BE1554"/>
    <w:rsid w:val="00BE181C"/>
    <w:rsid w:val="00BE2FA6"/>
    <w:rsid w:val="00BE333F"/>
    <w:rsid w:val="00BE3BCB"/>
    <w:rsid w:val="00BE559F"/>
    <w:rsid w:val="00BE7406"/>
    <w:rsid w:val="00BE7603"/>
    <w:rsid w:val="00BF08E2"/>
    <w:rsid w:val="00BF3279"/>
    <w:rsid w:val="00BF4AD7"/>
    <w:rsid w:val="00BF74C7"/>
    <w:rsid w:val="00C015F1"/>
    <w:rsid w:val="00C019C0"/>
    <w:rsid w:val="00C01F33"/>
    <w:rsid w:val="00C021F8"/>
    <w:rsid w:val="00C02A05"/>
    <w:rsid w:val="00C02CC6"/>
    <w:rsid w:val="00C03381"/>
    <w:rsid w:val="00C03D95"/>
    <w:rsid w:val="00C040F7"/>
    <w:rsid w:val="00C044AB"/>
    <w:rsid w:val="00C05706"/>
    <w:rsid w:val="00C07377"/>
    <w:rsid w:val="00C0743E"/>
    <w:rsid w:val="00C10478"/>
    <w:rsid w:val="00C12107"/>
    <w:rsid w:val="00C128A5"/>
    <w:rsid w:val="00C12AD0"/>
    <w:rsid w:val="00C14D4B"/>
    <w:rsid w:val="00C14E17"/>
    <w:rsid w:val="00C154BB"/>
    <w:rsid w:val="00C16170"/>
    <w:rsid w:val="00C17194"/>
    <w:rsid w:val="00C2320B"/>
    <w:rsid w:val="00C23ED0"/>
    <w:rsid w:val="00C24315"/>
    <w:rsid w:val="00C279B5"/>
    <w:rsid w:val="00C27C45"/>
    <w:rsid w:val="00C31AD5"/>
    <w:rsid w:val="00C32FF1"/>
    <w:rsid w:val="00C35D01"/>
    <w:rsid w:val="00C36B0D"/>
    <w:rsid w:val="00C36E98"/>
    <w:rsid w:val="00C3719D"/>
    <w:rsid w:val="00C37CB2"/>
    <w:rsid w:val="00C4304C"/>
    <w:rsid w:val="00C43CAE"/>
    <w:rsid w:val="00C43D34"/>
    <w:rsid w:val="00C473A5"/>
    <w:rsid w:val="00C51208"/>
    <w:rsid w:val="00C51F41"/>
    <w:rsid w:val="00C5327F"/>
    <w:rsid w:val="00C536AC"/>
    <w:rsid w:val="00C5410E"/>
    <w:rsid w:val="00C54995"/>
    <w:rsid w:val="00C54D41"/>
    <w:rsid w:val="00C578F1"/>
    <w:rsid w:val="00C57ADA"/>
    <w:rsid w:val="00C60783"/>
    <w:rsid w:val="00C62715"/>
    <w:rsid w:val="00C63EE5"/>
    <w:rsid w:val="00C64098"/>
    <w:rsid w:val="00C64672"/>
    <w:rsid w:val="00C66024"/>
    <w:rsid w:val="00C6724C"/>
    <w:rsid w:val="00C6748F"/>
    <w:rsid w:val="00C70697"/>
    <w:rsid w:val="00C72093"/>
    <w:rsid w:val="00C72EF4"/>
    <w:rsid w:val="00C7390E"/>
    <w:rsid w:val="00C744FE"/>
    <w:rsid w:val="00C748AA"/>
    <w:rsid w:val="00C759D1"/>
    <w:rsid w:val="00C75D2F"/>
    <w:rsid w:val="00C764EB"/>
    <w:rsid w:val="00C767BE"/>
    <w:rsid w:val="00C76E3C"/>
    <w:rsid w:val="00C77381"/>
    <w:rsid w:val="00C8118A"/>
    <w:rsid w:val="00C81568"/>
    <w:rsid w:val="00C82F82"/>
    <w:rsid w:val="00C850A2"/>
    <w:rsid w:val="00C85EFB"/>
    <w:rsid w:val="00C86339"/>
    <w:rsid w:val="00C9027A"/>
    <w:rsid w:val="00C9068E"/>
    <w:rsid w:val="00C92686"/>
    <w:rsid w:val="00C92AB0"/>
    <w:rsid w:val="00C93814"/>
    <w:rsid w:val="00C939C0"/>
    <w:rsid w:val="00C93C4B"/>
    <w:rsid w:val="00C944AB"/>
    <w:rsid w:val="00C95B40"/>
    <w:rsid w:val="00C95CB2"/>
    <w:rsid w:val="00CA1ED8"/>
    <w:rsid w:val="00CA4528"/>
    <w:rsid w:val="00CB0737"/>
    <w:rsid w:val="00CB164D"/>
    <w:rsid w:val="00CB1F63"/>
    <w:rsid w:val="00CB5147"/>
    <w:rsid w:val="00CB7170"/>
    <w:rsid w:val="00CC040E"/>
    <w:rsid w:val="00CC111F"/>
    <w:rsid w:val="00CC2011"/>
    <w:rsid w:val="00CC3D4F"/>
    <w:rsid w:val="00CC3EA0"/>
    <w:rsid w:val="00CC78E3"/>
    <w:rsid w:val="00CC7B45"/>
    <w:rsid w:val="00CD0AA3"/>
    <w:rsid w:val="00CD1188"/>
    <w:rsid w:val="00CD24C0"/>
    <w:rsid w:val="00CD2ED1"/>
    <w:rsid w:val="00CD337B"/>
    <w:rsid w:val="00CD5699"/>
    <w:rsid w:val="00CE0424"/>
    <w:rsid w:val="00CE36E8"/>
    <w:rsid w:val="00CE3AC4"/>
    <w:rsid w:val="00CE6684"/>
    <w:rsid w:val="00CE6D7F"/>
    <w:rsid w:val="00CE7561"/>
    <w:rsid w:val="00CF0CE7"/>
    <w:rsid w:val="00CF1354"/>
    <w:rsid w:val="00CF3B1F"/>
    <w:rsid w:val="00CF3BF6"/>
    <w:rsid w:val="00CF625B"/>
    <w:rsid w:val="00CF687E"/>
    <w:rsid w:val="00CF716E"/>
    <w:rsid w:val="00D0145B"/>
    <w:rsid w:val="00D02882"/>
    <w:rsid w:val="00D0349B"/>
    <w:rsid w:val="00D03714"/>
    <w:rsid w:val="00D07597"/>
    <w:rsid w:val="00D10249"/>
    <w:rsid w:val="00D10F82"/>
    <w:rsid w:val="00D115C3"/>
    <w:rsid w:val="00D11897"/>
    <w:rsid w:val="00D11FBA"/>
    <w:rsid w:val="00D1212D"/>
    <w:rsid w:val="00D12236"/>
    <w:rsid w:val="00D12F01"/>
    <w:rsid w:val="00D13135"/>
    <w:rsid w:val="00D13E4E"/>
    <w:rsid w:val="00D2079C"/>
    <w:rsid w:val="00D2325D"/>
    <w:rsid w:val="00D239A7"/>
    <w:rsid w:val="00D23F47"/>
    <w:rsid w:val="00D24C62"/>
    <w:rsid w:val="00D26A73"/>
    <w:rsid w:val="00D277BF"/>
    <w:rsid w:val="00D34A14"/>
    <w:rsid w:val="00D36E71"/>
    <w:rsid w:val="00D37D87"/>
    <w:rsid w:val="00D40B33"/>
    <w:rsid w:val="00D42D0A"/>
    <w:rsid w:val="00D4318F"/>
    <w:rsid w:val="00D4365B"/>
    <w:rsid w:val="00D438BF"/>
    <w:rsid w:val="00D440F8"/>
    <w:rsid w:val="00D4463A"/>
    <w:rsid w:val="00D45B59"/>
    <w:rsid w:val="00D467C3"/>
    <w:rsid w:val="00D50ADC"/>
    <w:rsid w:val="00D50B78"/>
    <w:rsid w:val="00D50C3B"/>
    <w:rsid w:val="00D546FF"/>
    <w:rsid w:val="00D558DA"/>
    <w:rsid w:val="00D55A62"/>
    <w:rsid w:val="00D55AD5"/>
    <w:rsid w:val="00D56ED1"/>
    <w:rsid w:val="00D576CA"/>
    <w:rsid w:val="00D61AF5"/>
    <w:rsid w:val="00D622BF"/>
    <w:rsid w:val="00D63A41"/>
    <w:rsid w:val="00D647E1"/>
    <w:rsid w:val="00D649F1"/>
    <w:rsid w:val="00D652B5"/>
    <w:rsid w:val="00D66155"/>
    <w:rsid w:val="00D677D9"/>
    <w:rsid w:val="00D67F80"/>
    <w:rsid w:val="00D708B0"/>
    <w:rsid w:val="00D7680A"/>
    <w:rsid w:val="00D77B1D"/>
    <w:rsid w:val="00D8021F"/>
    <w:rsid w:val="00D80383"/>
    <w:rsid w:val="00D813F5"/>
    <w:rsid w:val="00D823C6"/>
    <w:rsid w:val="00D82EB6"/>
    <w:rsid w:val="00D8327F"/>
    <w:rsid w:val="00D86CA3"/>
    <w:rsid w:val="00D871CE"/>
    <w:rsid w:val="00D9196D"/>
    <w:rsid w:val="00D91C81"/>
    <w:rsid w:val="00D91F39"/>
    <w:rsid w:val="00D92982"/>
    <w:rsid w:val="00DA305E"/>
    <w:rsid w:val="00DA34E2"/>
    <w:rsid w:val="00DA4E7B"/>
    <w:rsid w:val="00DA52C8"/>
    <w:rsid w:val="00DA5417"/>
    <w:rsid w:val="00DA56E8"/>
    <w:rsid w:val="00DA7DE4"/>
    <w:rsid w:val="00DB0A9F"/>
    <w:rsid w:val="00DB377D"/>
    <w:rsid w:val="00DB5662"/>
    <w:rsid w:val="00DB668F"/>
    <w:rsid w:val="00DC2382"/>
    <w:rsid w:val="00DC2D36"/>
    <w:rsid w:val="00DC3EBF"/>
    <w:rsid w:val="00DC53EF"/>
    <w:rsid w:val="00DC5E00"/>
    <w:rsid w:val="00DC6C18"/>
    <w:rsid w:val="00DC726D"/>
    <w:rsid w:val="00DD0624"/>
    <w:rsid w:val="00DD1AD7"/>
    <w:rsid w:val="00DD495A"/>
    <w:rsid w:val="00DE4700"/>
    <w:rsid w:val="00DE5608"/>
    <w:rsid w:val="00DE58D0"/>
    <w:rsid w:val="00DE654F"/>
    <w:rsid w:val="00DF0B6E"/>
    <w:rsid w:val="00DF15E0"/>
    <w:rsid w:val="00DF1ED4"/>
    <w:rsid w:val="00DF37A0"/>
    <w:rsid w:val="00DF65AC"/>
    <w:rsid w:val="00E00257"/>
    <w:rsid w:val="00E00A5F"/>
    <w:rsid w:val="00E06109"/>
    <w:rsid w:val="00E06EE6"/>
    <w:rsid w:val="00E06FA8"/>
    <w:rsid w:val="00E075C9"/>
    <w:rsid w:val="00E106C6"/>
    <w:rsid w:val="00E110CC"/>
    <w:rsid w:val="00E110E7"/>
    <w:rsid w:val="00E11B20"/>
    <w:rsid w:val="00E128BA"/>
    <w:rsid w:val="00E156A1"/>
    <w:rsid w:val="00E17FA2"/>
    <w:rsid w:val="00E2078F"/>
    <w:rsid w:val="00E20CF8"/>
    <w:rsid w:val="00E221D9"/>
    <w:rsid w:val="00E22330"/>
    <w:rsid w:val="00E22E3E"/>
    <w:rsid w:val="00E30964"/>
    <w:rsid w:val="00E30B5A"/>
    <w:rsid w:val="00E3123D"/>
    <w:rsid w:val="00E31461"/>
    <w:rsid w:val="00E31D43"/>
    <w:rsid w:val="00E32608"/>
    <w:rsid w:val="00E34188"/>
    <w:rsid w:val="00E34B6E"/>
    <w:rsid w:val="00E35559"/>
    <w:rsid w:val="00E3723A"/>
    <w:rsid w:val="00E3733A"/>
    <w:rsid w:val="00E37860"/>
    <w:rsid w:val="00E4075B"/>
    <w:rsid w:val="00E431A9"/>
    <w:rsid w:val="00E43A25"/>
    <w:rsid w:val="00E446F1"/>
    <w:rsid w:val="00E4490F"/>
    <w:rsid w:val="00E45FD3"/>
    <w:rsid w:val="00E46886"/>
    <w:rsid w:val="00E47950"/>
    <w:rsid w:val="00E47AEF"/>
    <w:rsid w:val="00E5183B"/>
    <w:rsid w:val="00E5199F"/>
    <w:rsid w:val="00E51F43"/>
    <w:rsid w:val="00E520BD"/>
    <w:rsid w:val="00E52A6E"/>
    <w:rsid w:val="00E53792"/>
    <w:rsid w:val="00E53B75"/>
    <w:rsid w:val="00E54227"/>
    <w:rsid w:val="00E547E7"/>
    <w:rsid w:val="00E54E3B"/>
    <w:rsid w:val="00E558B6"/>
    <w:rsid w:val="00E57565"/>
    <w:rsid w:val="00E608C6"/>
    <w:rsid w:val="00E61025"/>
    <w:rsid w:val="00E632D7"/>
    <w:rsid w:val="00E63838"/>
    <w:rsid w:val="00E64434"/>
    <w:rsid w:val="00E6599D"/>
    <w:rsid w:val="00E665BF"/>
    <w:rsid w:val="00E6730C"/>
    <w:rsid w:val="00E67C51"/>
    <w:rsid w:val="00E71026"/>
    <w:rsid w:val="00E72EFC"/>
    <w:rsid w:val="00E74942"/>
    <w:rsid w:val="00E758EC"/>
    <w:rsid w:val="00E8234C"/>
    <w:rsid w:val="00E82D7A"/>
    <w:rsid w:val="00E83AA9"/>
    <w:rsid w:val="00E85928"/>
    <w:rsid w:val="00E87822"/>
    <w:rsid w:val="00E87F66"/>
    <w:rsid w:val="00E90395"/>
    <w:rsid w:val="00E908C3"/>
    <w:rsid w:val="00E90E49"/>
    <w:rsid w:val="00E917F9"/>
    <w:rsid w:val="00E9291C"/>
    <w:rsid w:val="00E93FFE"/>
    <w:rsid w:val="00E94F8A"/>
    <w:rsid w:val="00E9791D"/>
    <w:rsid w:val="00EA1EA4"/>
    <w:rsid w:val="00EA2E4F"/>
    <w:rsid w:val="00EA6312"/>
    <w:rsid w:val="00EA7A41"/>
    <w:rsid w:val="00EB077B"/>
    <w:rsid w:val="00EB0B25"/>
    <w:rsid w:val="00EB4EA2"/>
    <w:rsid w:val="00EB5FFD"/>
    <w:rsid w:val="00EB7317"/>
    <w:rsid w:val="00EC04CB"/>
    <w:rsid w:val="00EC20EA"/>
    <w:rsid w:val="00EC24D5"/>
    <w:rsid w:val="00EC27C6"/>
    <w:rsid w:val="00EC40FF"/>
    <w:rsid w:val="00EC4207"/>
    <w:rsid w:val="00EC5653"/>
    <w:rsid w:val="00EC5E61"/>
    <w:rsid w:val="00EC71CE"/>
    <w:rsid w:val="00ED1006"/>
    <w:rsid w:val="00ED1AA8"/>
    <w:rsid w:val="00ED5213"/>
    <w:rsid w:val="00EE2C8E"/>
    <w:rsid w:val="00EE30DD"/>
    <w:rsid w:val="00EE5F02"/>
    <w:rsid w:val="00EE670D"/>
    <w:rsid w:val="00EF0331"/>
    <w:rsid w:val="00EF18F4"/>
    <w:rsid w:val="00EF18FE"/>
    <w:rsid w:val="00EF326F"/>
    <w:rsid w:val="00EF387B"/>
    <w:rsid w:val="00EF5787"/>
    <w:rsid w:val="00EF60D0"/>
    <w:rsid w:val="00EF763D"/>
    <w:rsid w:val="00F04287"/>
    <w:rsid w:val="00F04482"/>
    <w:rsid w:val="00F0528D"/>
    <w:rsid w:val="00F06C67"/>
    <w:rsid w:val="00F06DFD"/>
    <w:rsid w:val="00F071D1"/>
    <w:rsid w:val="00F07533"/>
    <w:rsid w:val="00F10629"/>
    <w:rsid w:val="00F12CC5"/>
    <w:rsid w:val="00F13E0A"/>
    <w:rsid w:val="00F153A9"/>
    <w:rsid w:val="00F15FA5"/>
    <w:rsid w:val="00F1606C"/>
    <w:rsid w:val="00F209B7"/>
    <w:rsid w:val="00F20A67"/>
    <w:rsid w:val="00F21143"/>
    <w:rsid w:val="00F2376F"/>
    <w:rsid w:val="00F243D8"/>
    <w:rsid w:val="00F30326"/>
    <w:rsid w:val="00F30828"/>
    <w:rsid w:val="00F313D6"/>
    <w:rsid w:val="00F31B67"/>
    <w:rsid w:val="00F3205C"/>
    <w:rsid w:val="00F32876"/>
    <w:rsid w:val="00F40F0C"/>
    <w:rsid w:val="00F44AC6"/>
    <w:rsid w:val="00F46613"/>
    <w:rsid w:val="00F46C78"/>
    <w:rsid w:val="00F4766C"/>
    <w:rsid w:val="00F5060E"/>
    <w:rsid w:val="00F507D1"/>
    <w:rsid w:val="00F5084C"/>
    <w:rsid w:val="00F519CE"/>
    <w:rsid w:val="00F51ADA"/>
    <w:rsid w:val="00F538B7"/>
    <w:rsid w:val="00F538D8"/>
    <w:rsid w:val="00F5682C"/>
    <w:rsid w:val="00F60203"/>
    <w:rsid w:val="00F607C5"/>
    <w:rsid w:val="00F60DEA"/>
    <w:rsid w:val="00F61ECE"/>
    <w:rsid w:val="00F6302A"/>
    <w:rsid w:val="00F63950"/>
    <w:rsid w:val="00F63C3B"/>
    <w:rsid w:val="00F64C2B"/>
    <w:rsid w:val="00F651BE"/>
    <w:rsid w:val="00F658EC"/>
    <w:rsid w:val="00F67F53"/>
    <w:rsid w:val="00F703BE"/>
    <w:rsid w:val="00F71F69"/>
    <w:rsid w:val="00F72B72"/>
    <w:rsid w:val="00F7423E"/>
    <w:rsid w:val="00F74BB9"/>
    <w:rsid w:val="00F75582"/>
    <w:rsid w:val="00F7649A"/>
    <w:rsid w:val="00F76EFA"/>
    <w:rsid w:val="00F800E7"/>
    <w:rsid w:val="00F804BE"/>
    <w:rsid w:val="00F8165F"/>
    <w:rsid w:val="00F817CE"/>
    <w:rsid w:val="00F81AB6"/>
    <w:rsid w:val="00F82F28"/>
    <w:rsid w:val="00F8456C"/>
    <w:rsid w:val="00F8553E"/>
    <w:rsid w:val="00F859D8"/>
    <w:rsid w:val="00F868F5"/>
    <w:rsid w:val="00F90301"/>
    <w:rsid w:val="00F9056A"/>
    <w:rsid w:val="00F90F8D"/>
    <w:rsid w:val="00F92782"/>
    <w:rsid w:val="00F92D45"/>
    <w:rsid w:val="00F93AA9"/>
    <w:rsid w:val="00F94F60"/>
    <w:rsid w:val="00F95C02"/>
    <w:rsid w:val="00F96985"/>
    <w:rsid w:val="00F97838"/>
    <w:rsid w:val="00F97A3C"/>
    <w:rsid w:val="00FA0B4D"/>
    <w:rsid w:val="00FA11CD"/>
    <w:rsid w:val="00FA2BB3"/>
    <w:rsid w:val="00FA36F0"/>
    <w:rsid w:val="00FB0C9D"/>
    <w:rsid w:val="00FB1793"/>
    <w:rsid w:val="00FB3AC1"/>
    <w:rsid w:val="00FB4C80"/>
    <w:rsid w:val="00FB5522"/>
    <w:rsid w:val="00FB6A6A"/>
    <w:rsid w:val="00FC4A1A"/>
    <w:rsid w:val="00FC59DA"/>
    <w:rsid w:val="00FC7429"/>
    <w:rsid w:val="00FC782E"/>
    <w:rsid w:val="00FD07F6"/>
    <w:rsid w:val="00FD0EDD"/>
    <w:rsid w:val="00FD1EC8"/>
    <w:rsid w:val="00FD47ED"/>
    <w:rsid w:val="00FD74DB"/>
    <w:rsid w:val="00FD7660"/>
    <w:rsid w:val="00FD7E3C"/>
    <w:rsid w:val="00FE0311"/>
    <w:rsid w:val="00FE0655"/>
    <w:rsid w:val="00FE2365"/>
    <w:rsid w:val="00FE37D7"/>
    <w:rsid w:val="00FE4C7B"/>
    <w:rsid w:val="00FE4D85"/>
    <w:rsid w:val="00FE58C8"/>
    <w:rsid w:val="00FE6401"/>
    <w:rsid w:val="00FE7336"/>
    <w:rsid w:val="00FE787C"/>
    <w:rsid w:val="00FF1E50"/>
    <w:rsid w:val="00FF2DE5"/>
    <w:rsid w:val="00FF45A5"/>
    <w:rsid w:val="00FF50B4"/>
    <w:rsid w:val="00FF5C91"/>
    <w:rsid w:val="00FF6990"/>
    <w:rsid w:val="00FF74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5E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C5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5145"/>
    <w:pPr>
      <w:pBdr>
        <w:top w:val="none" w:sz="0" w:space="0" w:color="auto"/>
      </w:pBdr>
      <w:spacing w:before="180"/>
      <w:outlineLvl w:val="1"/>
    </w:pPr>
    <w:rPr>
      <w:sz w:val="32"/>
    </w:rPr>
  </w:style>
  <w:style w:type="paragraph" w:styleId="Heading3">
    <w:name w:val="heading 3"/>
    <w:basedOn w:val="Heading2"/>
    <w:next w:val="Normal"/>
    <w:link w:val="Heading3Char"/>
    <w:qFormat/>
    <w:rsid w:val="009C5145"/>
    <w:pPr>
      <w:spacing w:before="120"/>
      <w:outlineLvl w:val="2"/>
    </w:pPr>
    <w:rPr>
      <w:sz w:val="28"/>
    </w:rPr>
  </w:style>
  <w:style w:type="paragraph" w:styleId="Heading4">
    <w:name w:val="heading 4"/>
    <w:basedOn w:val="Heading3"/>
    <w:next w:val="Normal"/>
    <w:link w:val="Heading4Char"/>
    <w:qFormat/>
    <w:rsid w:val="009C5145"/>
    <w:pPr>
      <w:ind w:left="1418" w:hanging="1418"/>
      <w:outlineLvl w:val="3"/>
    </w:pPr>
    <w:rPr>
      <w:sz w:val="24"/>
    </w:rPr>
  </w:style>
  <w:style w:type="paragraph" w:styleId="Heading5">
    <w:name w:val="heading 5"/>
    <w:basedOn w:val="Heading4"/>
    <w:next w:val="Normal"/>
    <w:link w:val="Heading5Char"/>
    <w:qFormat/>
    <w:rsid w:val="009C5145"/>
    <w:pPr>
      <w:ind w:left="1701" w:hanging="1701"/>
      <w:outlineLvl w:val="4"/>
    </w:pPr>
    <w:rPr>
      <w:sz w:val="22"/>
    </w:rPr>
  </w:style>
  <w:style w:type="paragraph" w:styleId="Heading6">
    <w:name w:val="heading 6"/>
    <w:basedOn w:val="H6"/>
    <w:next w:val="Normal"/>
    <w:link w:val="Heading6Char"/>
    <w:qFormat/>
    <w:rsid w:val="009C5145"/>
    <w:pPr>
      <w:outlineLvl w:val="5"/>
    </w:pPr>
  </w:style>
  <w:style w:type="paragraph" w:styleId="Heading7">
    <w:name w:val="heading 7"/>
    <w:basedOn w:val="H6"/>
    <w:next w:val="Normal"/>
    <w:link w:val="Heading7Char"/>
    <w:qFormat/>
    <w:rsid w:val="009C5145"/>
    <w:pPr>
      <w:outlineLvl w:val="6"/>
    </w:pPr>
  </w:style>
  <w:style w:type="paragraph" w:styleId="Heading8">
    <w:name w:val="heading 8"/>
    <w:basedOn w:val="Heading1"/>
    <w:next w:val="Normal"/>
    <w:link w:val="Heading8Char"/>
    <w:qFormat/>
    <w:rsid w:val="009C5145"/>
    <w:pPr>
      <w:ind w:left="0" w:firstLine="0"/>
      <w:outlineLvl w:val="7"/>
    </w:pPr>
  </w:style>
  <w:style w:type="paragraph" w:styleId="Heading9">
    <w:name w:val="heading 9"/>
    <w:basedOn w:val="Heading8"/>
    <w:next w:val="Normal"/>
    <w:link w:val="Heading9Char"/>
    <w:qFormat/>
    <w:rsid w:val="009C5145"/>
    <w:pPr>
      <w:outlineLvl w:val="8"/>
    </w:pPr>
  </w:style>
  <w:style w:type="character" w:default="1" w:styleId="DefaultParagraphFont">
    <w:name w:val="Default Paragraph Font"/>
    <w:uiPriority w:val="1"/>
    <w:semiHidden/>
    <w:unhideWhenUsed/>
    <w:rsid w:val="00A835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5EC"/>
  </w:style>
  <w:style w:type="paragraph" w:styleId="TOC8">
    <w:name w:val="toc 8"/>
    <w:basedOn w:val="TOC1"/>
    <w:uiPriority w:val="39"/>
    <w:rsid w:val="009C5145"/>
    <w:pPr>
      <w:spacing w:before="180"/>
      <w:ind w:left="2693" w:hanging="2693"/>
    </w:pPr>
    <w:rPr>
      <w:b/>
    </w:rPr>
  </w:style>
  <w:style w:type="paragraph" w:styleId="TOC1">
    <w:name w:val="toc 1"/>
    <w:uiPriority w:val="39"/>
    <w:rsid w:val="009C5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5145"/>
    <w:pPr>
      <w:keepNext/>
      <w:keepLines/>
      <w:spacing w:before="180"/>
      <w:jc w:val="center"/>
    </w:pPr>
  </w:style>
  <w:style w:type="paragraph" w:styleId="Caption">
    <w:name w:val="caption"/>
    <w:basedOn w:val="Normal"/>
    <w:next w:val="Normal"/>
    <w:qFormat/>
    <w:rsid w:val="009C5145"/>
    <w:pPr>
      <w:spacing w:before="120" w:after="120"/>
    </w:pPr>
    <w:rPr>
      <w:b/>
      <w:lang w:eastAsia="en-GB"/>
    </w:rPr>
  </w:style>
  <w:style w:type="paragraph" w:styleId="TOC5">
    <w:name w:val="toc 5"/>
    <w:basedOn w:val="TOC4"/>
    <w:uiPriority w:val="39"/>
    <w:rsid w:val="009C5145"/>
    <w:pPr>
      <w:ind w:left="1701" w:hanging="1701"/>
    </w:pPr>
  </w:style>
  <w:style w:type="paragraph" w:styleId="TOC4">
    <w:name w:val="toc 4"/>
    <w:basedOn w:val="TOC3"/>
    <w:uiPriority w:val="39"/>
    <w:rsid w:val="009C5145"/>
    <w:pPr>
      <w:ind w:left="1418" w:hanging="1418"/>
    </w:pPr>
  </w:style>
  <w:style w:type="paragraph" w:styleId="TOC3">
    <w:name w:val="toc 3"/>
    <w:basedOn w:val="TOC2"/>
    <w:uiPriority w:val="39"/>
    <w:rsid w:val="009C5145"/>
    <w:pPr>
      <w:ind w:left="1134" w:hanging="1134"/>
    </w:pPr>
  </w:style>
  <w:style w:type="paragraph" w:styleId="TOC2">
    <w:name w:val="toc 2"/>
    <w:basedOn w:val="TOC1"/>
    <w:uiPriority w:val="39"/>
    <w:rsid w:val="009C5145"/>
    <w:pPr>
      <w:keepNext w:val="0"/>
      <w:spacing w:before="0"/>
      <w:ind w:left="851" w:hanging="851"/>
    </w:pPr>
    <w:rPr>
      <w:sz w:val="20"/>
    </w:rPr>
  </w:style>
  <w:style w:type="paragraph" w:styleId="Index2">
    <w:name w:val="index 2"/>
    <w:basedOn w:val="Index1"/>
    <w:rsid w:val="009C5145"/>
    <w:pPr>
      <w:ind w:left="284"/>
    </w:pPr>
  </w:style>
  <w:style w:type="paragraph" w:styleId="Index1">
    <w:name w:val="index 1"/>
    <w:basedOn w:val="Normal"/>
    <w:rsid w:val="009C5145"/>
    <w:pPr>
      <w:keepLines/>
      <w:spacing w:after="0"/>
    </w:pPr>
  </w:style>
  <w:style w:type="paragraph" w:styleId="DocumentMap">
    <w:name w:val="Document Map"/>
    <w:basedOn w:val="Normal"/>
    <w:link w:val="DocumentMapChar"/>
    <w:rsid w:val="009C5145"/>
    <w:pPr>
      <w:shd w:val="clear" w:color="auto" w:fill="000080"/>
    </w:pPr>
    <w:rPr>
      <w:rFonts w:ascii="Tahoma" w:hAnsi="Tahoma" w:cs="Tahoma"/>
    </w:rPr>
  </w:style>
  <w:style w:type="paragraph" w:styleId="ListNumber2">
    <w:name w:val="List Number 2"/>
    <w:basedOn w:val="ListNumber"/>
    <w:rsid w:val="009C5145"/>
    <w:pPr>
      <w:numPr>
        <w:numId w:val="22"/>
      </w:numPr>
    </w:pPr>
  </w:style>
  <w:style w:type="paragraph" w:styleId="ListNumber">
    <w:name w:val="List Number"/>
    <w:basedOn w:val="List"/>
    <w:rsid w:val="009C5145"/>
    <w:pPr>
      <w:numPr>
        <w:numId w:val="21"/>
      </w:numPr>
    </w:pPr>
    <w:rPr>
      <w:lang w:eastAsia="ja-JP"/>
    </w:rPr>
  </w:style>
  <w:style w:type="paragraph" w:styleId="List">
    <w:name w:val="List"/>
    <w:basedOn w:val="BodyText"/>
    <w:rsid w:val="009C5145"/>
    <w:pPr>
      <w:ind w:left="568" w:hanging="284"/>
    </w:pPr>
  </w:style>
  <w:style w:type="paragraph" w:styleId="Header">
    <w:name w:val="header"/>
    <w:link w:val="HeaderChar"/>
    <w:rsid w:val="009C51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5145"/>
    <w:rPr>
      <w:b/>
      <w:position w:val="6"/>
      <w:sz w:val="16"/>
    </w:rPr>
  </w:style>
  <w:style w:type="paragraph" w:styleId="FootnoteText">
    <w:name w:val="footnote text"/>
    <w:basedOn w:val="Normal"/>
    <w:link w:val="FootnoteTextChar"/>
    <w:rsid w:val="009C5145"/>
    <w:pPr>
      <w:keepLines/>
      <w:spacing w:after="0"/>
      <w:ind w:left="454" w:hanging="454"/>
    </w:pPr>
    <w:rPr>
      <w:sz w:val="16"/>
    </w:rPr>
  </w:style>
  <w:style w:type="paragraph" w:customStyle="1" w:styleId="3GPPHeader">
    <w:name w:val="3GPP_Header"/>
    <w:basedOn w:val="BodyText"/>
    <w:rsid w:val="009C5145"/>
    <w:pPr>
      <w:tabs>
        <w:tab w:val="left" w:pos="1701"/>
        <w:tab w:val="right" w:pos="9639"/>
      </w:tabs>
      <w:spacing w:after="240"/>
    </w:pPr>
    <w:rPr>
      <w:b/>
      <w:sz w:val="24"/>
    </w:rPr>
  </w:style>
  <w:style w:type="paragraph" w:styleId="TOC9">
    <w:name w:val="toc 9"/>
    <w:basedOn w:val="TOC8"/>
    <w:uiPriority w:val="39"/>
    <w:rsid w:val="009C5145"/>
    <w:pPr>
      <w:ind w:left="1418" w:hanging="1418"/>
    </w:pPr>
  </w:style>
  <w:style w:type="paragraph" w:styleId="TOC6">
    <w:name w:val="toc 6"/>
    <w:basedOn w:val="TOC5"/>
    <w:next w:val="Normal"/>
    <w:uiPriority w:val="39"/>
    <w:rsid w:val="009C5145"/>
    <w:pPr>
      <w:ind w:left="1985" w:hanging="1985"/>
    </w:pPr>
  </w:style>
  <w:style w:type="paragraph" w:styleId="TOC7">
    <w:name w:val="toc 7"/>
    <w:basedOn w:val="TOC6"/>
    <w:next w:val="Normal"/>
    <w:uiPriority w:val="39"/>
    <w:rsid w:val="009C5145"/>
    <w:pPr>
      <w:ind w:left="2268" w:hanging="2268"/>
    </w:pPr>
  </w:style>
  <w:style w:type="paragraph" w:styleId="ListBullet2">
    <w:name w:val="List Bullet 2"/>
    <w:basedOn w:val="ListBullet"/>
    <w:rsid w:val="009C5145"/>
    <w:pPr>
      <w:numPr>
        <w:numId w:val="17"/>
      </w:numPr>
    </w:pPr>
  </w:style>
  <w:style w:type="paragraph" w:styleId="ListBullet">
    <w:name w:val="List Bullet"/>
    <w:basedOn w:val="List"/>
    <w:rsid w:val="009C5145"/>
    <w:pPr>
      <w:numPr>
        <w:numId w:val="16"/>
      </w:numPr>
    </w:pPr>
    <w:rPr>
      <w:lang w:eastAsia="ja-JP"/>
    </w:rPr>
  </w:style>
  <w:style w:type="paragraph" w:styleId="ListBullet3">
    <w:name w:val="List Bullet 3"/>
    <w:basedOn w:val="ListBullet2"/>
    <w:rsid w:val="009C5145"/>
    <w:pPr>
      <w:numPr>
        <w:numId w:val="18"/>
      </w:numPr>
    </w:pPr>
  </w:style>
  <w:style w:type="paragraph" w:customStyle="1" w:styleId="EQ">
    <w:name w:val="EQ"/>
    <w:basedOn w:val="Normal"/>
    <w:next w:val="Normal"/>
    <w:rsid w:val="009C5145"/>
    <w:pPr>
      <w:keepLines/>
      <w:tabs>
        <w:tab w:val="center" w:pos="4536"/>
        <w:tab w:val="right" w:pos="9072"/>
      </w:tabs>
    </w:pPr>
    <w:rPr>
      <w:noProof/>
    </w:rPr>
  </w:style>
  <w:style w:type="paragraph" w:styleId="List2">
    <w:name w:val="List 2"/>
    <w:basedOn w:val="List"/>
    <w:rsid w:val="009C5145"/>
    <w:pPr>
      <w:ind w:left="851"/>
    </w:pPr>
    <w:rPr>
      <w:lang w:eastAsia="ja-JP"/>
    </w:rPr>
  </w:style>
  <w:style w:type="paragraph" w:styleId="List3">
    <w:name w:val="List 3"/>
    <w:basedOn w:val="List2"/>
    <w:rsid w:val="009C5145"/>
    <w:pPr>
      <w:ind w:left="1135"/>
    </w:pPr>
  </w:style>
  <w:style w:type="paragraph" w:styleId="List4">
    <w:name w:val="List 4"/>
    <w:basedOn w:val="List3"/>
    <w:rsid w:val="009C5145"/>
    <w:pPr>
      <w:ind w:left="1418"/>
    </w:pPr>
  </w:style>
  <w:style w:type="paragraph" w:styleId="List5">
    <w:name w:val="List 5"/>
    <w:basedOn w:val="List4"/>
    <w:rsid w:val="009C5145"/>
    <w:pPr>
      <w:ind w:left="1702"/>
    </w:pPr>
  </w:style>
  <w:style w:type="paragraph" w:customStyle="1" w:styleId="EditorsNote">
    <w:name w:val="Editor's Note"/>
    <w:basedOn w:val="NO"/>
    <w:link w:val="EditorsNoteChar"/>
    <w:rsid w:val="009C5145"/>
    <w:rPr>
      <w:color w:val="FF0000"/>
      <w:lang w:val="x-none" w:eastAsia="x-none"/>
    </w:rPr>
  </w:style>
  <w:style w:type="paragraph" w:styleId="ListBullet4">
    <w:name w:val="List Bullet 4"/>
    <w:basedOn w:val="ListBullet3"/>
    <w:rsid w:val="009C5145"/>
    <w:pPr>
      <w:numPr>
        <w:numId w:val="19"/>
      </w:numPr>
    </w:pPr>
  </w:style>
  <w:style w:type="paragraph" w:styleId="ListBullet5">
    <w:name w:val="List Bullet 5"/>
    <w:basedOn w:val="ListBullet4"/>
    <w:rsid w:val="009C5145"/>
    <w:pPr>
      <w:numPr>
        <w:numId w:val="20"/>
      </w:numPr>
    </w:pPr>
  </w:style>
  <w:style w:type="paragraph" w:styleId="Footer">
    <w:name w:val="footer"/>
    <w:basedOn w:val="Header"/>
    <w:link w:val="FooterChar"/>
    <w:rsid w:val="009C5145"/>
    <w:pPr>
      <w:jc w:val="center"/>
    </w:pPr>
    <w:rPr>
      <w:i/>
    </w:rPr>
  </w:style>
  <w:style w:type="paragraph" w:customStyle="1" w:styleId="Reference">
    <w:name w:val="Reference"/>
    <w:basedOn w:val="BodyText"/>
    <w:rsid w:val="009C5145"/>
    <w:pPr>
      <w:numPr>
        <w:numId w:val="2"/>
      </w:numPr>
    </w:pPr>
  </w:style>
  <w:style w:type="paragraph" w:styleId="BalloonText">
    <w:name w:val="Balloon Text"/>
    <w:basedOn w:val="Normal"/>
    <w:link w:val="BalloonTextChar"/>
    <w:rsid w:val="009C5145"/>
    <w:pPr>
      <w:spacing w:after="0"/>
    </w:pPr>
    <w:rPr>
      <w:rFonts w:ascii="Segoe UI" w:hAnsi="Segoe UI" w:cs="Segoe UI"/>
      <w:sz w:val="18"/>
      <w:szCs w:val="18"/>
    </w:rPr>
  </w:style>
  <w:style w:type="character" w:styleId="PageNumber">
    <w:name w:val="page number"/>
    <w:basedOn w:val="DefaultParagraphFont"/>
    <w:rsid w:val="009C5145"/>
  </w:style>
  <w:style w:type="paragraph" w:styleId="BodyText">
    <w:name w:val="Body Text"/>
    <w:basedOn w:val="Normal"/>
    <w:link w:val="BodyTextChar"/>
    <w:rsid w:val="009C5145"/>
    <w:pPr>
      <w:spacing w:after="120"/>
      <w:jc w:val="both"/>
    </w:pPr>
    <w:rPr>
      <w:rFonts w:ascii="Arial" w:hAnsi="Arial"/>
      <w:lang w:eastAsia="zh-CN"/>
    </w:rPr>
  </w:style>
  <w:style w:type="character" w:styleId="Hyperlink">
    <w:name w:val="Hyperlink"/>
    <w:uiPriority w:val="99"/>
    <w:qFormat/>
    <w:rsid w:val="009C5145"/>
    <w:rPr>
      <w:color w:val="0000FF"/>
      <w:u w:val="single"/>
    </w:rPr>
  </w:style>
  <w:style w:type="character" w:styleId="FollowedHyperlink">
    <w:name w:val="FollowedHyperlink"/>
    <w:unhideWhenUsed/>
    <w:rsid w:val="009C5145"/>
    <w:rPr>
      <w:color w:val="800080"/>
      <w:u w:val="single"/>
    </w:rPr>
  </w:style>
  <w:style w:type="character" w:styleId="CommentReference">
    <w:name w:val="annotation reference"/>
    <w:uiPriority w:val="99"/>
    <w:qFormat/>
    <w:rsid w:val="009C5145"/>
    <w:rPr>
      <w:sz w:val="16"/>
      <w:szCs w:val="16"/>
    </w:rPr>
  </w:style>
  <w:style w:type="paragraph" w:styleId="CommentText">
    <w:name w:val="annotation text"/>
    <w:basedOn w:val="Normal"/>
    <w:link w:val="CommentTextChar"/>
    <w:uiPriority w:val="99"/>
    <w:qFormat/>
    <w:rsid w:val="009C5145"/>
  </w:style>
  <w:style w:type="paragraph" w:styleId="CommentSubject">
    <w:name w:val="annotation subject"/>
    <w:basedOn w:val="CommentText"/>
    <w:next w:val="CommentText"/>
    <w:link w:val="CommentSubjectChar"/>
    <w:rsid w:val="009C5145"/>
    <w:rPr>
      <w:b/>
      <w:bCs/>
    </w:rPr>
  </w:style>
  <w:style w:type="character" w:customStyle="1" w:styleId="Heading1Char">
    <w:name w:val="Heading 1 Char"/>
    <w:link w:val="Heading1"/>
    <w:rsid w:val="009C5145"/>
    <w:rPr>
      <w:rFonts w:ascii="Arial" w:hAnsi="Arial"/>
      <w:sz w:val="36"/>
      <w:lang w:eastAsia="ja-JP"/>
    </w:rPr>
  </w:style>
  <w:style w:type="paragraph" w:customStyle="1" w:styleId="B1">
    <w:name w:val="B1"/>
    <w:basedOn w:val="List"/>
    <w:link w:val="B1Char1"/>
    <w:rsid w:val="009C5145"/>
    <w:rPr>
      <w:rFonts w:ascii="Times New Roman" w:hAnsi="Times New Roman"/>
    </w:rPr>
  </w:style>
  <w:style w:type="paragraph" w:customStyle="1" w:styleId="B2">
    <w:name w:val="B2"/>
    <w:basedOn w:val="List2"/>
    <w:link w:val="B2Char"/>
    <w:rsid w:val="009C5145"/>
    <w:rPr>
      <w:rFonts w:ascii="Times New Roman" w:hAnsi="Times New Roman"/>
    </w:rPr>
  </w:style>
  <w:style w:type="paragraph" w:customStyle="1" w:styleId="B3">
    <w:name w:val="B3"/>
    <w:basedOn w:val="List3"/>
    <w:link w:val="B3Char2"/>
    <w:rsid w:val="009C5145"/>
    <w:rPr>
      <w:rFonts w:ascii="Times New Roman" w:hAnsi="Times New Roman"/>
    </w:rPr>
  </w:style>
  <w:style w:type="paragraph" w:customStyle="1" w:styleId="B4">
    <w:name w:val="B4"/>
    <w:basedOn w:val="List4"/>
    <w:link w:val="B4Char"/>
    <w:rsid w:val="009C5145"/>
    <w:rPr>
      <w:rFonts w:ascii="Times New Roman" w:hAnsi="Times New Roman"/>
    </w:rPr>
  </w:style>
  <w:style w:type="paragraph" w:customStyle="1" w:styleId="Proposal">
    <w:name w:val="Proposal"/>
    <w:basedOn w:val="BodyText"/>
    <w:rsid w:val="009C5145"/>
    <w:pPr>
      <w:numPr>
        <w:numId w:val="3"/>
      </w:numPr>
      <w:tabs>
        <w:tab w:val="left" w:pos="1701"/>
      </w:tabs>
      <w:ind w:left="1701" w:hanging="1701"/>
    </w:pPr>
    <w:rPr>
      <w:b/>
      <w:bCs/>
    </w:rPr>
  </w:style>
  <w:style w:type="character" w:customStyle="1" w:styleId="BodyTextChar">
    <w:name w:val="Body Text Char"/>
    <w:link w:val="BodyText"/>
    <w:rsid w:val="009C5145"/>
    <w:rPr>
      <w:rFonts w:ascii="Arial" w:hAnsi="Arial"/>
      <w:lang w:eastAsia="zh-CN"/>
    </w:rPr>
  </w:style>
  <w:style w:type="paragraph" w:customStyle="1" w:styleId="B5">
    <w:name w:val="B5"/>
    <w:basedOn w:val="List5"/>
    <w:link w:val="B5Char"/>
    <w:rsid w:val="009C5145"/>
    <w:rPr>
      <w:rFonts w:ascii="Times New Roman" w:hAnsi="Times New Roman"/>
    </w:rPr>
  </w:style>
  <w:style w:type="paragraph" w:customStyle="1" w:styleId="EX">
    <w:name w:val="EX"/>
    <w:basedOn w:val="Normal"/>
    <w:rsid w:val="009C5145"/>
    <w:pPr>
      <w:keepLines/>
      <w:ind w:left="1702" w:hanging="1418"/>
    </w:pPr>
  </w:style>
  <w:style w:type="paragraph" w:customStyle="1" w:styleId="EW">
    <w:name w:val="EW"/>
    <w:basedOn w:val="EX"/>
    <w:rsid w:val="009C5145"/>
    <w:pPr>
      <w:spacing w:after="0"/>
    </w:pPr>
  </w:style>
  <w:style w:type="paragraph" w:customStyle="1" w:styleId="TAL">
    <w:name w:val="TAL"/>
    <w:basedOn w:val="Normal"/>
    <w:link w:val="TALCar"/>
    <w:rsid w:val="009C5145"/>
    <w:pPr>
      <w:keepNext/>
      <w:keepLines/>
      <w:spacing w:after="0"/>
    </w:pPr>
    <w:rPr>
      <w:rFonts w:ascii="Arial" w:hAnsi="Arial"/>
      <w:sz w:val="18"/>
      <w:lang w:val="x-none" w:eastAsia="x-none"/>
    </w:rPr>
  </w:style>
  <w:style w:type="paragraph" w:customStyle="1" w:styleId="TAC">
    <w:name w:val="TAC"/>
    <w:basedOn w:val="TAL"/>
    <w:rsid w:val="009C5145"/>
    <w:pPr>
      <w:jc w:val="center"/>
    </w:pPr>
  </w:style>
  <w:style w:type="paragraph" w:customStyle="1" w:styleId="TAH">
    <w:name w:val="TAH"/>
    <w:basedOn w:val="TAC"/>
    <w:link w:val="TAHCar"/>
    <w:rsid w:val="009C5145"/>
    <w:rPr>
      <w:b/>
    </w:rPr>
  </w:style>
  <w:style w:type="paragraph" w:customStyle="1" w:styleId="TAN">
    <w:name w:val="TAN"/>
    <w:basedOn w:val="TAL"/>
    <w:rsid w:val="009C5145"/>
    <w:pPr>
      <w:ind w:left="851" w:hanging="851"/>
    </w:pPr>
  </w:style>
  <w:style w:type="paragraph" w:customStyle="1" w:styleId="TAR">
    <w:name w:val="TAR"/>
    <w:basedOn w:val="TAL"/>
    <w:rsid w:val="009C5145"/>
    <w:pPr>
      <w:jc w:val="right"/>
    </w:pPr>
  </w:style>
  <w:style w:type="paragraph" w:customStyle="1" w:styleId="TH">
    <w:name w:val="TH"/>
    <w:basedOn w:val="Normal"/>
    <w:link w:val="THChar"/>
    <w:rsid w:val="009C5145"/>
    <w:pPr>
      <w:keepNext/>
      <w:keepLines/>
      <w:spacing w:before="60"/>
      <w:jc w:val="center"/>
    </w:pPr>
    <w:rPr>
      <w:rFonts w:ascii="Arial" w:hAnsi="Arial"/>
      <w:b/>
      <w:lang w:val="x-none" w:eastAsia="x-none"/>
    </w:rPr>
  </w:style>
  <w:style w:type="paragraph" w:customStyle="1" w:styleId="TF">
    <w:name w:val="TF"/>
    <w:basedOn w:val="TH"/>
    <w:link w:val="TFChar"/>
    <w:rsid w:val="009C5145"/>
    <w:pPr>
      <w:keepNext w:val="0"/>
      <w:spacing w:before="0" w:after="240"/>
    </w:pPr>
  </w:style>
  <w:style w:type="paragraph" w:customStyle="1" w:styleId="TT">
    <w:name w:val="TT"/>
    <w:basedOn w:val="Heading1"/>
    <w:next w:val="Normal"/>
    <w:rsid w:val="009C5145"/>
    <w:pPr>
      <w:outlineLvl w:val="9"/>
    </w:pPr>
  </w:style>
  <w:style w:type="paragraph" w:customStyle="1" w:styleId="ZA">
    <w:name w:val="ZA"/>
    <w:rsid w:val="009C5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5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51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51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5145"/>
  </w:style>
  <w:style w:type="paragraph" w:customStyle="1" w:styleId="ZH">
    <w:name w:val="ZH"/>
    <w:rsid w:val="009C51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5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5145"/>
    <w:pPr>
      <w:framePr w:hRule="auto" w:wrap="notBeside" w:y="852"/>
    </w:pPr>
    <w:rPr>
      <w:i w:val="0"/>
      <w:sz w:val="40"/>
    </w:rPr>
  </w:style>
  <w:style w:type="paragraph" w:customStyle="1" w:styleId="ZU">
    <w:name w:val="ZU"/>
    <w:rsid w:val="009C5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5145"/>
    <w:pPr>
      <w:framePr w:wrap="notBeside" w:y="16161"/>
    </w:pPr>
  </w:style>
  <w:style w:type="paragraph" w:customStyle="1" w:styleId="FP">
    <w:name w:val="FP"/>
    <w:basedOn w:val="Normal"/>
    <w:rsid w:val="009C5145"/>
    <w:pPr>
      <w:spacing w:after="0"/>
    </w:pPr>
  </w:style>
  <w:style w:type="paragraph" w:customStyle="1" w:styleId="Observation">
    <w:name w:val="Observation"/>
    <w:basedOn w:val="Proposal"/>
    <w:qFormat/>
    <w:rsid w:val="009C5145"/>
    <w:pPr>
      <w:numPr>
        <w:numId w:val="13"/>
      </w:numPr>
    </w:pPr>
    <w:rPr>
      <w:lang w:eastAsia="ja-JP"/>
    </w:rPr>
  </w:style>
  <w:style w:type="paragraph" w:styleId="TableofFigures">
    <w:name w:val="table of figures"/>
    <w:basedOn w:val="BodyText"/>
    <w:next w:val="Normal"/>
    <w:uiPriority w:val="99"/>
    <w:rsid w:val="009C5145"/>
    <w:pPr>
      <w:ind w:left="1701" w:hanging="1701"/>
      <w:jc w:val="left"/>
    </w:pPr>
    <w:rPr>
      <w:b/>
    </w:rPr>
  </w:style>
  <w:style w:type="character" w:customStyle="1" w:styleId="B1Char1">
    <w:name w:val="B1 Char1"/>
    <w:link w:val="B1"/>
    <w:qFormat/>
    <w:rsid w:val="009C5145"/>
    <w:rPr>
      <w:rFonts w:ascii="Times New Roman" w:hAnsi="Times New Roman"/>
      <w:lang w:eastAsia="zh-CN"/>
    </w:rPr>
  </w:style>
  <w:style w:type="character" w:customStyle="1" w:styleId="B2Char">
    <w:name w:val="B2 Char"/>
    <w:link w:val="B2"/>
    <w:qFormat/>
    <w:rsid w:val="009C5145"/>
    <w:rPr>
      <w:rFonts w:ascii="Times New Roman" w:hAnsi="Times New Roman"/>
      <w:lang w:eastAsia="ja-JP"/>
    </w:rPr>
  </w:style>
  <w:style w:type="character" w:customStyle="1" w:styleId="B3Char2">
    <w:name w:val="B3 Char2"/>
    <w:link w:val="B3"/>
    <w:qFormat/>
    <w:rsid w:val="009C5145"/>
    <w:rPr>
      <w:rFonts w:ascii="Times New Roman" w:hAnsi="Times New Roman"/>
      <w:lang w:eastAsia="ja-JP"/>
    </w:rPr>
  </w:style>
  <w:style w:type="character" w:customStyle="1" w:styleId="B4Char">
    <w:name w:val="B4 Char"/>
    <w:link w:val="B4"/>
    <w:rsid w:val="009C5145"/>
    <w:rPr>
      <w:rFonts w:ascii="Times New Roman" w:hAnsi="Times New Roman"/>
      <w:lang w:eastAsia="ja-JP"/>
    </w:rPr>
  </w:style>
  <w:style w:type="character" w:customStyle="1" w:styleId="B5Char">
    <w:name w:val="B5 Char"/>
    <w:link w:val="B5"/>
    <w:rsid w:val="009C5145"/>
    <w:rPr>
      <w:rFonts w:ascii="Times New Roman" w:hAnsi="Times New Roman"/>
      <w:lang w:eastAsia="ja-JP"/>
    </w:rPr>
  </w:style>
  <w:style w:type="paragraph" w:customStyle="1" w:styleId="B6">
    <w:name w:val="B6"/>
    <w:basedOn w:val="B5"/>
    <w:link w:val="B6Char"/>
    <w:rsid w:val="009C5145"/>
    <w:pPr>
      <w:ind w:left="1985"/>
    </w:pPr>
  </w:style>
  <w:style w:type="character" w:customStyle="1" w:styleId="B6Char">
    <w:name w:val="B6 Char"/>
    <w:link w:val="B6"/>
    <w:rsid w:val="009C5145"/>
    <w:rPr>
      <w:rFonts w:ascii="Times New Roman" w:hAnsi="Times New Roman"/>
      <w:lang w:eastAsia="ja-JP"/>
    </w:rPr>
  </w:style>
  <w:style w:type="paragraph" w:customStyle="1" w:styleId="B7">
    <w:name w:val="B7"/>
    <w:basedOn w:val="B6"/>
    <w:link w:val="B7Char"/>
    <w:rsid w:val="009C5145"/>
    <w:pPr>
      <w:ind w:left="2269"/>
    </w:pPr>
  </w:style>
  <w:style w:type="character" w:customStyle="1" w:styleId="B7Char">
    <w:name w:val="B7 Char"/>
    <w:basedOn w:val="B6Char"/>
    <w:link w:val="B7"/>
    <w:rsid w:val="009C5145"/>
    <w:rPr>
      <w:rFonts w:ascii="Times New Roman" w:hAnsi="Times New Roman"/>
      <w:lang w:eastAsia="ja-JP"/>
    </w:rPr>
  </w:style>
  <w:style w:type="paragraph" w:customStyle="1" w:styleId="B8">
    <w:name w:val="B8"/>
    <w:basedOn w:val="B7"/>
    <w:qFormat/>
    <w:rsid w:val="009C5145"/>
    <w:pPr>
      <w:ind w:left="2552"/>
    </w:pPr>
  </w:style>
  <w:style w:type="character" w:customStyle="1" w:styleId="BalloonTextChar">
    <w:name w:val="Balloon Text Char"/>
    <w:link w:val="BalloonText"/>
    <w:rsid w:val="009C5145"/>
    <w:rPr>
      <w:rFonts w:ascii="Segoe UI" w:hAnsi="Segoe UI" w:cs="Segoe UI"/>
      <w:sz w:val="18"/>
      <w:szCs w:val="18"/>
      <w:lang w:eastAsia="ja-JP"/>
    </w:rPr>
  </w:style>
  <w:style w:type="character" w:customStyle="1" w:styleId="CommentTextChar">
    <w:name w:val="Comment Text Char"/>
    <w:link w:val="CommentText"/>
    <w:uiPriority w:val="99"/>
    <w:qFormat/>
    <w:rsid w:val="009C5145"/>
    <w:rPr>
      <w:rFonts w:ascii="Times New Roman" w:hAnsi="Times New Roman"/>
      <w:lang w:eastAsia="ja-JP"/>
    </w:rPr>
  </w:style>
  <w:style w:type="character" w:customStyle="1" w:styleId="CommentSubjectChar">
    <w:name w:val="Comment Subject Char"/>
    <w:link w:val="CommentSubject"/>
    <w:rsid w:val="009C5145"/>
    <w:rPr>
      <w:rFonts w:ascii="Times New Roman" w:hAnsi="Times New Roman"/>
      <w:b/>
      <w:bCs/>
      <w:lang w:eastAsia="ja-JP"/>
    </w:rPr>
  </w:style>
  <w:style w:type="paragraph" w:customStyle="1" w:styleId="CRCoverPage">
    <w:name w:val="CR Cover Page"/>
    <w:link w:val="CRCoverPageZchn"/>
    <w:rsid w:val="009C5145"/>
    <w:pPr>
      <w:spacing w:after="120"/>
    </w:pPr>
    <w:rPr>
      <w:rFonts w:ascii="Arial" w:hAnsi="Arial"/>
      <w:lang w:eastAsia="ko-KR"/>
    </w:rPr>
  </w:style>
  <w:style w:type="character" w:customStyle="1" w:styleId="CRCoverPageZchn">
    <w:name w:val="CR Cover Page Zchn"/>
    <w:link w:val="CRCoverPage"/>
    <w:rsid w:val="009C5145"/>
    <w:rPr>
      <w:rFonts w:ascii="Arial" w:hAnsi="Arial"/>
      <w:lang w:eastAsia="ko-KR"/>
    </w:rPr>
  </w:style>
  <w:style w:type="paragraph" w:customStyle="1" w:styleId="Doc-text2">
    <w:name w:val="Doc-text2"/>
    <w:basedOn w:val="Normal"/>
    <w:link w:val="Doc-text2Char"/>
    <w:qFormat/>
    <w:rsid w:val="009C51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5145"/>
    <w:rPr>
      <w:rFonts w:ascii="Arial" w:eastAsia="MS Mincho" w:hAnsi="Arial"/>
      <w:szCs w:val="24"/>
      <w:lang w:val="x-none" w:eastAsia="x-none"/>
    </w:rPr>
  </w:style>
  <w:style w:type="character" w:customStyle="1" w:styleId="DocumentMapChar">
    <w:name w:val="Document Map Char"/>
    <w:link w:val="DocumentMap"/>
    <w:rsid w:val="009C5145"/>
    <w:rPr>
      <w:rFonts w:ascii="Tahoma" w:hAnsi="Tahoma" w:cs="Tahoma"/>
      <w:shd w:val="clear" w:color="auto" w:fill="000080"/>
      <w:lang w:eastAsia="ja-JP"/>
    </w:rPr>
  </w:style>
  <w:style w:type="paragraph" w:customStyle="1" w:styleId="NO">
    <w:name w:val="NO"/>
    <w:basedOn w:val="Normal"/>
    <w:link w:val="NOChar"/>
    <w:rsid w:val="009C5145"/>
    <w:pPr>
      <w:keepLines/>
      <w:ind w:left="1135" w:hanging="851"/>
    </w:pPr>
  </w:style>
  <w:style w:type="character" w:customStyle="1" w:styleId="NOChar">
    <w:name w:val="NO Char"/>
    <w:link w:val="NO"/>
    <w:qFormat/>
    <w:rsid w:val="009C5145"/>
    <w:rPr>
      <w:rFonts w:ascii="Times New Roman" w:hAnsi="Times New Roman"/>
      <w:lang w:eastAsia="ja-JP"/>
    </w:rPr>
  </w:style>
  <w:style w:type="character" w:customStyle="1" w:styleId="EditorsNoteChar">
    <w:name w:val="Editor's Note Char"/>
    <w:link w:val="EditorsNote"/>
    <w:rsid w:val="009C5145"/>
    <w:rPr>
      <w:rFonts w:ascii="Times New Roman" w:hAnsi="Times New Roman"/>
      <w:color w:val="FF0000"/>
      <w:lang w:val="x-none" w:eastAsia="x-none"/>
    </w:rPr>
  </w:style>
  <w:style w:type="paragraph" w:customStyle="1" w:styleId="EmailDiscussion">
    <w:name w:val="EmailDiscussion"/>
    <w:basedOn w:val="Normal"/>
    <w:next w:val="Normal"/>
    <w:rsid w:val="009C5145"/>
    <w:pPr>
      <w:numPr>
        <w:numId w:val="14"/>
      </w:numPr>
      <w:spacing w:before="40" w:after="0"/>
    </w:pPr>
    <w:rPr>
      <w:rFonts w:ascii="Arial" w:eastAsia="MS Mincho" w:hAnsi="Arial"/>
      <w:b/>
      <w:szCs w:val="24"/>
      <w:lang w:eastAsia="en-GB"/>
    </w:rPr>
  </w:style>
  <w:style w:type="character" w:styleId="Emphasis">
    <w:name w:val="Emphasis"/>
    <w:qFormat/>
    <w:rsid w:val="009C5145"/>
    <w:rPr>
      <w:i/>
      <w:iCs/>
    </w:rPr>
  </w:style>
  <w:style w:type="paragraph" w:customStyle="1" w:styleId="FigureTitle">
    <w:name w:val="Figure_Title"/>
    <w:basedOn w:val="Normal"/>
    <w:next w:val="Normal"/>
    <w:rsid w:val="009C51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5145"/>
    <w:rPr>
      <w:rFonts w:ascii="Arial" w:hAnsi="Arial"/>
      <w:b/>
      <w:noProof/>
      <w:sz w:val="18"/>
      <w:lang w:eastAsia="ja-JP"/>
    </w:rPr>
  </w:style>
  <w:style w:type="character" w:customStyle="1" w:styleId="FooterChar">
    <w:name w:val="Footer Char"/>
    <w:link w:val="Footer"/>
    <w:rsid w:val="009C5145"/>
    <w:rPr>
      <w:rFonts w:ascii="Arial" w:hAnsi="Arial"/>
      <w:b/>
      <w:i/>
      <w:noProof/>
      <w:sz w:val="18"/>
      <w:lang w:eastAsia="ja-JP"/>
    </w:rPr>
  </w:style>
  <w:style w:type="character" w:customStyle="1" w:styleId="FootnoteTextChar">
    <w:name w:val="Footnote Text Char"/>
    <w:link w:val="FootnoteText"/>
    <w:rsid w:val="009C5145"/>
    <w:rPr>
      <w:rFonts w:ascii="Times New Roman" w:hAnsi="Times New Roman"/>
      <w:sz w:val="16"/>
      <w:lang w:eastAsia="ja-JP"/>
    </w:rPr>
  </w:style>
  <w:style w:type="paragraph" w:customStyle="1" w:styleId="Guidance">
    <w:name w:val="Guidance"/>
    <w:basedOn w:val="Normal"/>
    <w:rsid w:val="009C5145"/>
    <w:rPr>
      <w:i/>
      <w:color w:val="0000FF"/>
    </w:rPr>
  </w:style>
  <w:style w:type="character" w:customStyle="1" w:styleId="Heading2Char">
    <w:name w:val="Heading 2 Char"/>
    <w:link w:val="Heading2"/>
    <w:rsid w:val="009C5145"/>
    <w:rPr>
      <w:rFonts w:ascii="Arial" w:hAnsi="Arial"/>
      <w:sz w:val="32"/>
      <w:lang w:eastAsia="ja-JP"/>
    </w:rPr>
  </w:style>
  <w:style w:type="character" w:customStyle="1" w:styleId="Heading3Char">
    <w:name w:val="Heading 3 Char"/>
    <w:link w:val="Heading3"/>
    <w:rsid w:val="009C5145"/>
    <w:rPr>
      <w:rFonts w:ascii="Arial" w:hAnsi="Arial"/>
      <w:sz w:val="28"/>
      <w:lang w:eastAsia="ja-JP"/>
    </w:rPr>
  </w:style>
  <w:style w:type="character" w:customStyle="1" w:styleId="Heading4Char">
    <w:name w:val="Heading 4 Char"/>
    <w:link w:val="Heading4"/>
    <w:rsid w:val="009C5145"/>
    <w:rPr>
      <w:rFonts w:ascii="Arial" w:hAnsi="Arial"/>
      <w:sz w:val="24"/>
      <w:lang w:eastAsia="ja-JP"/>
    </w:rPr>
  </w:style>
  <w:style w:type="character" w:customStyle="1" w:styleId="Heading5Char">
    <w:name w:val="Heading 5 Char"/>
    <w:link w:val="Heading5"/>
    <w:rsid w:val="009C5145"/>
    <w:rPr>
      <w:rFonts w:ascii="Arial" w:hAnsi="Arial"/>
      <w:sz w:val="22"/>
      <w:lang w:eastAsia="ja-JP"/>
    </w:rPr>
  </w:style>
  <w:style w:type="paragraph" w:customStyle="1" w:styleId="H6">
    <w:name w:val="H6"/>
    <w:basedOn w:val="Heading5"/>
    <w:next w:val="Normal"/>
    <w:rsid w:val="009C5145"/>
    <w:pPr>
      <w:ind w:left="1985" w:hanging="1985"/>
      <w:outlineLvl w:val="9"/>
    </w:pPr>
    <w:rPr>
      <w:sz w:val="20"/>
    </w:rPr>
  </w:style>
  <w:style w:type="character" w:customStyle="1" w:styleId="Heading6Char">
    <w:name w:val="Heading 6 Char"/>
    <w:link w:val="Heading6"/>
    <w:rsid w:val="009C5145"/>
    <w:rPr>
      <w:rFonts w:ascii="Arial" w:hAnsi="Arial"/>
      <w:lang w:eastAsia="ja-JP"/>
    </w:rPr>
  </w:style>
  <w:style w:type="character" w:customStyle="1" w:styleId="Heading7Char">
    <w:name w:val="Heading 7 Char"/>
    <w:link w:val="Heading7"/>
    <w:rsid w:val="009C5145"/>
    <w:rPr>
      <w:rFonts w:ascii="Arial" w:hAnsi="Arial"/>
      <w:lang w:eastAsia="ja-JP"/>
    </w:rPr>
  </w:style>
  <w:style w:type="character" w:customStyle="1" w:styleId="Heading8Char">
    <w:name w:val="Heading 8 Char"/>
    <w:link w:val="Heading8"/>
    <w:rsid w:val="009C5145"/>
    <w:rPr>
      <w:rFonts w:ascii="Arial" w:hAnsi="Arial"/>
      <w:sz w:val="36"/>
      <w:lang w:eastAsia="ja-JP"/>
    </w:rPr>
  </w:style>
  <w:style w:type="character" w:customStyle="1" w:styleId="Heading9Char">
    <w:name w:val="Heading 9 Char"/>
    <w:link w:val="Heading9"/>
    <w:rsid w:val="009C5145"/>
    <w:rPr>
      <w:rFonts w:ascii="Arial" w:hAnsi="Arial"/>
      <w:sz w:val="36"/>
      <w:lang w:eastAsia="ja-JP"/>
    </w:rPr>
  </w:style>
  <w:style w:type="character" w:styleId="HTMLCode">
    <w:name w:val="HTML Code"/>
    <w:uiPriority w:val="99"/>
    <w:unhideWhenUsed/>
    <w:rsid w:val="009C5145"/>
    <w:rPr>
      <w:rFonts w:ascii="Courier New" w:eastAsia="Times New Roman" w:hAnsi="Courier New" w:cs="Courier New"/>
      <w:sz w:val="20"/>
      <w:szCs w:val="20"/>
    </w:rPr>
  </w:style>
  <w:style w:type="paragraph" w:styleId="IndexHeading">
    <w:name w:val="index heading"/>
    <w:basedOn w:val="Normal"/>
    <w:next w:val="Normal"/>
    <w:rsid w:val="009C5145"/>
    <w:pPr>
      <w:pBdr>
        <w:top w:val="single" w:sz="12" w:space="0" w:color="auto"/>
      </w:pBdr>
      <w:spacing w:before="360" w:after="240"/>
    </w:pPr>
    <w:rPr>
      <w:b/>
      <w:i/>
      <w:sz w:val="26"/>
      <w:lang w:eastAsia="en-GB"/>
    </w:rPr>
  </w:style>
  <w:style w:type="paragraph" w:customStyle="1" w:styleId="LD">
    <w:name w:val="LD"/>
    <w:rsid w:val="009C51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514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C5145"/>
    <w:rPr>
      <w:rFonts w:ascii="Calibri" w:eastAsia="Calibri" w:hAnsi="Calibri"/>
      <w:sz w:val="22"/>
      <w:szCs w:val="22"/>
      <w:lang w:val="x-none" w:eastAsia="en-US"/>
    </w:rPr>
  </w:style>
  <w:style w:type="paragraph" w:customStyle="1" w:styleId="NF">
    <w:name w:val="NF"/>
    <w:basedOn w:val="NO"/>
    <w:rsid w:val="009C5145"/>
    <w:pPr>
      <w:keepNext/>
      <w:spacing w:after="0"/>
    </w:pPr>
    <w:rPr>
      <w:rFonts w:ascii="Arial" w:hAnsi="Arial"/>
      <w:sz w:val="18"/>
    </w:rPr>
  </w:style>
  <w:style w:type="paragraph" w:customStyle="1" w:styleId="NW">
    <w:name w:val="NW"/>
    <w:basedOn w:val="NO"/>
    <w:rsid w:val="009C5145"/>
    <w:pPr>
      <w:spacing w:after="0"/>
    </w:pPr>
  </w:style>
  <w:style w:type="paragraph" w:customStyle="1" w:styleId="PL">
    <w:name w:val="PL"/>
    <w:link w:val="PLChar"/>
    <w:qFormat/>
    <w:rsid w:val="009C51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5145"/>
    <w:rPr>
      <w:rFonts w:ascii="Courier New" w:eastAsia="Batang" w:hAnsi="Courier New"/>
      <w:noProof/>
      <w:sz w:val="16"/>
      <w:shd w:val="clear" w:color="auto" w:fill="E6E6E6"/>
      <w:lang w:eastAsia="sv-SE"/>
    </w:rPr>
  </w:style>
  <w:style w:type="paragraph" w:styleId="PlainText">
    <w:name w:val="Plain Text"/>
    <w:basedOn w:val="Normal"/>
    <w:link w:val="PlainTextChar"/>
    <w:rsid w:val="009C5145"/>
    <w:rPr>
      <w:rFonts w:ascii="Courier New" w:hAnsi="Courier New"/>
      <w:lang w:val="nb-NO"/>
    </w:rPr>
  </w:style>
  <w:style w:type="character" w:customStyle="1" w:styleId="PlainTextChar">
    <w:name w:val="Plain Text Char"/>
    <w:link w:val="PlainText"/>
    <w:rsid w:val="009C5145"/>
    <w:rPr>
      <w:rFonts w:ascii="Courier New" w:hAnsi="Courier New"/>
      <w:lang w:val="nb-NO" w:eastAsia="ja-JP"/>
    </w:rPr>
  </w:style>
  <w:style w:type="character" w:styleId="Strong">
    <w:name w:val="Strong"/>
    <w:uiPriority w:val="22"/>
    <w:qFormat/>
    <w:rsid w:val="009C5145"/>
    <w:rPr>
      <w:b/>
      <w:bCs/>
    </w:rPr>
  </w:style>
  <w:style w:type="table" w:styleId="TableGrid">
    <w:name w:val="Table Grid"/>
    <w:basedOn w:val="TableNormal"/>
    <w:uiPriority w:val="39"/>
    <w:rsid w:val="009C51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5145"/>
    <w:rPr>
      <w:rFonts w:ascii="Arial" w:hAnsi="Arial"/>
      <w:sz w:val="18"/>
      <w:lang w:val="x-none" w:eastAsia="x-none"/>
    </w:rPr>
  </w:style>
  <w:style w:type="character" w:customStyle="1" w:styleId="TAHCar">
    <w:name w:val="TAH Car"/>
    <w:link w:val="TAH"/>
    <w:locked/>
    <w:rsid w:val="009C5145"/>
    <w:rPr>
      <w:rFonts w:ascii="Arial" w:hAnsi="Arial"/>
      <w:b/>
      <w:sz w:val="18"/>
      <w:lang w:val="x-none" w:eastAsia="x-none"/>
    </w:rPr>
  </w:style>
  <w:style w:type="character" w:customStyle="1" w:styleId="THChar">
    <w:name w:val="TH Char"/>
    <w:link w:val="TH"/>
    <w:rsid w:val="009C5145"/>
    <w:rPr>
      <w:rFonts w:ascii="Arial" w:hAnsi="Arial"/>
      <w:b/>
      <w:lang w:val="x-none" w:eastAsia="x-none"/>
    </w:rPr>
  </w:style>
  <w:style w:type="paragraph" w:customStyle="1" w:styleId="TAJ">
    <w:name w:val="TAJ"/>
    <w:basedOn w:val="TH"/>
    <w:rsid w:val="009C5145"/>
  </w:style>
  <w:style w:type="paragraph" w:customStyle="1" w:styleId="TALCharChar">
    <w:name w:val="TAL Char Char"/>
    <w:basedOn w:val="Normal"/>
    <w:link w:val="TALCharCharChar"/>
    <w:rsid w:val="009C51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5145"/>
    <w:rPr>
      <w:rFonts w:ascii="Arial" w:eastAsia="Malgun Gothic" w:hAnsi="Arial"/>
      <w:sz w:val="18"/>
      <w:lang w:val="x-none" w:eastAsia="x-none"/>
    </w:rPr>
  </w:style>
  <w:style w:type="character" w:customStyle="1" w:styleId="TFChar">
    <w:name w:val="TF Char"/>
    <w:link w:val="TF"/>
    <w:rsid w:val="009C5145"/>
    <w:rPr>
      <w:rFonts w:ascii="Arial" w:hAnsi="Arial"/>
      <w:b/>
      <w:lang w:val="x-none" w:eastAsia="x-none"/>
    </w:rPr>
  </w:style>
  <w:style w:type="paragraph" w:styleId="ListContinue">
    <w:name w:val="List Continue"/>
    <w:basedOn w:val="Normal"/>
    <w:rsid w:val="009C5145"/>
    <w:pPr>
      <w:spacing w:after="120"/>
      <w:ind w:left="283"/>
      <w:contextualSpacing/>
    </w:pPr>
    <w:rPr>
      <w:rFonts w:ascii="Arial" w:hAnsi="Arial"/>
    </w:rPr>
  </w:style>
  <w:style w:type="paragraph" w:styleId="ListContinue2">
    <w:name w:val="List Continue 2"/>
    <w:basedOn w:val="Normal"/>
    <w:rsid w:val="009C5145"/>
    <w:pPr>
      <w:spacing w:after="120"/>
      <w:ind w:left="566"/>
      <w:contextualSpacing/>
    </w:pPr>
    <w:rPr>
      <w:rFonts w:ascii="Arial" w:hAnsi="Arial"/>
    </w:rPr>
  </w:style>
  <w:style w:type="paragraph" w:styleId="ListNumber3">
    <w:name w:val="List Number 3"/>
    <w:basedOn w:val="ListNumber2"/>
    <w:rsid w:val="009C5145"/>
    <w:pPr>
      <w:numPr>
        <w:numId w:val="10"/>
      </w:numPr>
      <w:contextualSpacing/>
    </w:pPr>
  </w:style>
  <w:style w:type="character" w:customStyle="1" w:styleId="normaltextrun">
    <w:name w:val="normaltextrun"/>
    <w:basedOn w:val="DefaultParagraphFont"/>
    <w:rsid w:val="00314707"/>
  </w:style>
  <w:style w:type="paragraph" w:styleId="Revision">
    <w:name w:val="Revision"/>
    <w:hidden/>
    <w:uiPriority w:val="99"/>
    <w:semiHidden/>
    <w:rsid w:val="00183D32"/>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1D3F02"/>
    <w:rPr>
      <w:color w:val="808080"/>
    </w:rPr>
  </w:style>
  <w:style w:type="character" w:styleId="UnresolvedMention">
    <w:name w:val="Unresolved Mention"/>
    <w:basedOn w:val="DefaultParagraphFont"/>
    <w:uiPriority w:val="99"/>
    <w:semiHidden/>
    <w:unhideWhenUsed/>
    <w:rsid w:val="00EE2C8E"/>
    <w:rPr>
      <w:color w:val="605E5C"/>
      <w:shd w:val="clear" w:color="auto" w:fill="E1DFDD"/>
    </w:rPr>
  </w:style>
  <w:style w:type="table" w:customStyle="1" w:styleId="TableGrid1">
    <w:name w:val="Table Grid1"/>
    <w:basedOn w:val="TableNormal"/>
    <w:next w:val="TableGrid"/>
    <w:uiPriority w:val="39"/>
    <w:rsid w:val="00C92686"/>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089571">
      <w:bodyDiv w:val="1"/>
      <w:marLeft w:val="0"/>
      <w:marRight w:val="0"/>
      <w:marTop w:val="0"/>
      <w:marBottom w:val="0"/>
      <w:divBdr>
        <w:top w:val="none" w:sz="0" w:space="0" w:color="auto"/>
        <w:left w:val="none" w:sz="0" w:space="0" w:color="auto"/>
        <w:bottom w:val="none" w:sz="0" w:space="0" w:color="auto"/>
        <w:right w:val="none" w:sz="0" w:space="0" w:color="auto"/>
      </w:divBdr>
    </w:div>
    <w:div w:id="591822327">
      <w:bodyDiv w:val="1"/>
      <w:marLeft w:val="0"/>
      <w:marRight w:val="0"/>
      <w:marTop w:val="0"/>
      <w:marBottom w:val="0"/>
      <w:divBdr>
        <w:top w:val="none" w:sz="0" w:space="0" w:color="auto"/>
        <w:left w:val="none" w:sz="0" w:space="0" w:color="auto"/>
        <w:bottom w:val="none" w:sz="0" w:space="0" w:color="auto"/>
        <w:right w:val="none" w:sz="0" w:space="0" w:color="auto"/>
      </w:divBdr>
    </w:div>
    <w:div w:id="810901123">
      <w:bodyDiv w:val="1"/>
      <w:marLeft w:val="0"/>
      <w:marRight w:val="0"/>
      <w:marTop w:val="0"/>
      <w:marBottom w:val="0"/>
      <w:divBdr>
        <w:top w:val="none" w:sz="0" w:space="0" w:color="auto"/>
        <w:left w:val="none" w:sz="0" w:space="0" w:color="auto"/>
        <w:bottom w:val="none" w:sz="0" w:space="0" w:color="auto"/>
        <w:right w:val="none" w:sz="0" w:space="0" w:color="auto"/>
      </w:divBdr>
    </w:div>
    <w:div w:id="864945623">
      <w:bodyDiv w:val="1"/>
      <w:marLeft w:val="0"/>
      <w:marRight w:val="0"/>
      <w:marTop w:val="0"/>
      <w:marBottom w:val="0"/>
      <w:divBdr>
        <w:top w:val="none" w:sz="0" w:space="0" w:color="auto"/>
        <w:left w:val="none" w:sz="0" w:space="0" w:color="auto"/>
        <w:bottom w:val="none" w:sz="0" w:space="0" w:color="auto"/>
        <w:right w:val="none" w:sz="0" w:space="0" w:color="auto"/>
      </w:divBdr>
      <w:divsChild>
        <w:div w:id="1999377034">
          <w:marLeft w:val="0"/>
          <w:marRight w:val="0"/>
          <w:marTop w:val="0"/>
          <w:marBottom w:val="0"/>
          <w:divBdr>
            <w:top w:val="none" w:sz="0" w:space="0" w:color="auto"/>
            <w:left w:val="none" w:sz="0" w:space="0" w:color="auto"/>
            <w:bottom w:val="none" w:sz="0" w:space="0" w:color="auto"/>
            <w:right w:val="none" w:sz="0" w:space="0" w:color="auto"/>
          </w:divBdr>
        </w:div>
      </w:divsChild>
    </w:div>
    <w:div w:id="921568994">
      <w:bodyDiv w:val="1"/>
      <w:marLeft w:val="0"/>
      <w:marRight w:val="0"/>
      <w:marTop w:val="0"/>
      <w:marBottom w:val="0"/>
      <w:divBdr>
        <w:top w:val="none" w:sz="0" w:space="0" w:color="auto"/>
        <w:left w:val="none" w:sz="0" w:space="0" w:color="auto"/>
        <w:bottom w:val="none" w:sz="0" w:space="0" w:color="auto"/>
        <w:right w:val="none" w:sz="0" w:space="0" w:color="auto"/>
      </w:divBdr>
    </w:div>
    <w:div w:id="1070418463">
      <w:bodyDiv w:val="1"/>
      <w:marLeft w:val="0"/>
      <w:marRight w:val="0"/>
      <w:marTop w:val="0"/>
      <w:marBottom w:val="0"/>
      <w:divBdr>
        <w:top w:val="none" w:sz="0" w:space="0" w:color="auto"/>
        <w:left w:val="none" w:sz="0" w:space="0" w:color="auto"/>
        <w:bottom w:val="none" w:sz="0" w:space="0" w:color="auto"/>
        <w:right w:val="none" w:sz="0" w:space="0" w:color="auto"/>
      </w:divBdr>
    </w:div>
    <w:div w:id="1341666885">
      <w:bodyDiv w:val="1"/>
      <w:marLeft w:val="0"/>
      <w:marRight w:val="0"/>
      <w:marTop w:val="0"/>
      <w:marBottom w:val="0"/>
      <w:divBdr>
        <w:top w:val="none" w:sz="0" w:space="0" w:color="auto"/>
        <w:left w:val="none" w:sz="0" w:space="0" w:color="auto"/>
        <w:bottom w:val="none" w:sz="0" w:space="0" w:color="auto"/>
        <w:right w:val="none" w:sz="0" w:space="0" w:color="auto"/>
      </w:divBdr>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492984969">
      <w:bodyDiv w:val="1"/>
      <w:marLeft w:val="0"/>
      <w:marRight w:val="0"/>
      <w:marTop w:val="0"/>
      <w:marBottom w:val="0"/>
      <w:divBdr>
        <w:top w:val="none" w:sz="0" w:space="0" w:color="auto"/>
        <w:left w:val="none" w:sz="0" w:space="0" w:color="auto"/>
        <w:bottom w:val="none" w:sz="0" w:space="0" w:color="auto"/>
        <w:right w:val="none" w:sz="0" w:space="0" w:color="auto"/>
      </w:divBdr>
    </w:div>
    <w:div w:id="1494030440">
      <w:bodyDiv w:val="1"/>
      <w:marLeft w:val="0"/>
      <w:marRight w:val="0"/>
      <w:marTop w:val="0"/>
      <w:marBottom w:val="0"/>
      <w:divBdr>
        <w:top w:val="none" w:sz="0" w:space="0" w:color="auto"/>
        <w:left w:val="none" w:sz="0" w:space="0" w:color="auto"/>
        <w:bottom w:val="none" w:sz="0" w:space="0" w:color="auto"/>
        <w:right w:val="none" w:sz="0" w:space="0" w:color="auto"/>
      </w:divBdr>
    </w:div>
    <w:div w:id="1535463005">
      <w:bodyDiv w:val="1"/>
      <w:marLeft w:val="0"/>
      <w:marRight w:val="0"/>
      <w:marTop w:val="0"/>
      <w:marBottom w:val="0"/>
      <w:divBdr>
        <w:top w:val="none" w:sz="0" w:space="0" w:color="auto"/>
        <w:left w:val="none" w:sz="0" w:space="0" w:color="auto"/>
        <w:bottom w:val="none" w:sz="0" w:space="0" w:color="auto"/>
        <w:right w:val="none" w:sz="0" w:space="0" w:color="auto"/>
      </w:divBdr>
    </w:div>
    <w:div w:id="1538811488">
      <w:bodyDiv w:val="1"/>
      <w:marLeft w:val="0"/>
      <w:marRight w:val="0"/>
      <w:marTop w:val="0"/>
      <w:marBottom w:val="0"/>
      <w:divBdr>
        <w:top w:val="none" w:sz="0" w:space="0" w:color="auto"/>
        <w:left w:val="none" w:sz="0" w:space="0" w:color="auto"/>
        <w:bottom w:val="none" w:sz="0" w:space="0" w:color="auto"/>
        <w:right w:val="none" w:sz="0" w:space="0" w:color="auto"/>
      </w:divBdr>
    </w:div>
    <w:div w:id="1593971004">
      <w:bodyDiv w:val="1"/>
      <w:marLeft w:val="0"/>
      <w:marRight w:val="0"/>
      <w:marTop w:val="0"/>
      <w:marBottom w:val="0"/>
      <w:divBdr>
        <w:top w:val="none" w:sz="0" w:space="0" w:color="auto"/>
        <w:left w:val="none" w:sz="0" w:space="0" w:color="auto"/>
        <w:bottom w:val="none" w:sz="0" w:space="0" w:color="auto"/>
        <w:right w:val="none" w:sz="0" w:space="0" w:color="auto"/>
      </w:divBdr>
    </w:div>
    <w:div w:id="1676766868">
      <w:bodyDiv w:val="1"/>
      <w:marLeft w:val="0"/>
      <w:marRight w:val="0"/>
      <w:marTop w:val="0"/>
      <w:marBottom w:val="0"/>
      <w:divBdr>
        <w:top w:val="none" w:sz="0" w:space="0" w:color="auto"/>
        <w:left w:val="none" w:sz="0" w:space="0" w:color="auto"/>
        <w:bottom w:val="none" w:sz="0" w:space="0" w:color="auto"/>
        <w:right w:val="none" w:sz="0" w:space="0" w:color="auto"/>
      </w:divBdr>
    </w:div>
    <w:div w:id="1684428940">
      <w:bodyDiv w:val="1"/>
      <w:marLeft w:val="0"/>
      <w:marRight w:val="0"/>
      <w:marTop w:val="0"/>
      <w:marBottom w:val="0"/>
      <w:divBdr>
        <w:top w:val="none" w:sz="0" w:space="0" w:color="auto"/>
        <w:left w:val="none" w:sz="0" w:space="0" w:color="auto"/>
        <w:bottom w:val="none" w:sz="0" w:space="0" w:color="auto"/>
        <w:right w:val="none" w:sz="0" w:space="0" w:color="auto"/>
      </w:divBdr>
    </w:div>
    <w:div w:id="2061199706">
      <w:bodyDiv w:val="1"/>
      <w:marLeft w:val="0"/>
      <w:marRight w:val="0"/>
      <w:marTop w:val="0"/>
      <w:marBottom w:val="0"/>
      <w:divBdr>
        <w:top w:val="none" w:sz="0" w:space="0" w:color="auto"/>
        <w:left w:val="none" w:sz="0" w:space="0" w:color="auto"/>
        <w:bottom w:val="none" w:sz="0" w:space="0" w:color="auto"/>
        <w:right w:val="none" w:sz="0" w:space="0" w:color="auto"/>
      </w:divBdr>
      <w:divsChild>
        <w:div w:id="1278872930">
          <w:marLeft w:val="547"/>
          <w:marRight w:val="0"/>
          <w:marTop w:val="60"/>
          <w:marBottom w:val="0"/>
          <w:divBdr>
            <w:top w:val="none" w:sz="0" w:space="0" w:color="auto"/>
            <w:left w:val="none" w:sz="0" w:space="0" w:color="auto"/>
            <w:bottom w:val="none" w:sz="0" w:space="0" w:color="auto"/>
            <w:right w:val="none" w:sz="0" w:space="0" w:color="auto"/>
          </w:divBdr>
        </w:div>
        <w:div w:id="1614824140">
          <w:marLeft w:val="547"/>
          <w:marRight w:val="0"/>
          <w:marTop w:val="60"/>
          <w:marBottom w:val="0"/>
          <w:divBdr>
            <w:top w:val="none" w:sz="0" w:space="0" w:color="auto"/>
            <w:left w:val="none" w:sz="0" w:space="0" w:color="auto"/>
            <w:bottom w:val="none" w:sz="0" w:space="0" w:color="auto"/>
            <w:right w:val="none" w:sz="0" w:space="0" w:color="auto"/>
          </w:divBdr>
        </w:div>
      </w:divsChild>
    </w:div>
    <w:div w:id="209789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ftp.3gpp.org/tsg_ran/WG1_RL1/TSGR1_96/Docs/R1-1903276.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138EE-98C1-49E0-BE19-D9559E33B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2077</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2019-08-16T16:17:00Z</dcterms:created>
  <dcterms:modified xsi:type="dcterms:W3CDTF">2019-08-16T16:17:00Z</dcterms:modified>
  <cp:category/>
</cp:coreProperties>
</file>